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F25" w:rsidRDefault="00AD5AFB" w:rsidP="00AD5AFB">
      <w:pPr>
        <w:pBdr>
          <w:bottom w:val="single" w:sz="6" w:space="1" w:color="auto"/>
        </w:pBdr>
        <w:jc w:val="center"/>
        <w:rPr>
          <w:b/>
        </w:rPr>
      </w:pPr>
      <w:bookmarkStart w:id="0" w:name="_GoBack"/>
      <w:bookmarkEnd w:id="0"/>
      <w:r w:rsidRPr="00AD5AFB">
        <w:rPr>
          <w:b/>
        </w:rPr>
        <w:t xml:space="preserve">Estimation du coût </w:t>
      </w:r>
      <w:r w:rsidR="00AC4019">
        <w:rPr>
          <w:b/>
        </w:rPr>
        <w:t>de l’</w:t>
      </w:r>
      <w:r w:rsidRPr="00AD5AFB">
        <w:rPr>
          <w:b/>
        </w:rPr>
        <w:t xml:space="preserve">alignement </w:t>
      </w:r>
      <w:r w:rsidR="00AC4019">
        <w:rPr>
          <w:b/>
        </w:rPr>
        <w:t>de la grille</w:t>
      </w:r>
      <w:r w:rsidRPr="00AD5AFB">
        <w:rPr>
          <w:b/>
        </w:rPr>
        <w:t xml:space="preserve"> des </w:t>
      </w:r>
      <w:r w:rsidR="00AC4019">
        <w:rPr>
          <w:b/>
        </w:rPr>
        <w:t>professeurs territoriaux d’enseignement artistique exerçant dans les écoles</w:t>
      </w:r>
      <w:r w:rsidRPr="00AD5AFB">
        <w:rPr>
          <w:b/>
        </w:rPr>
        <w:t xml:space="preserve"> </w:t>
      </w:r>
      <w:r w:rsidR="00AC4019">
        <w:rPr>
          <w:b/>
        </w:rPr>
        <w:t xml:space="preserve">supérieures d’art </w:t>
      </w:r>
      <w:r w:rsidRPr="00AD5AFB">
        <w:rPr>
          <w:b/>
        </w:rPr>
        <w:t xml:space="preserve">territoriales (PEA) sur la grille des </w:t>
      </w:r>
      <w:r w:rsidR="00AC4019">
        <w:rPr>
          <w:b/>
        </w:rPr>
        <w:t xml:space="preserve">professeurs des écoles </w:t>
      </w:r>
      <w:r w:rsidRPr="00AD5AFB">
        <w:rPr>
          <w:b/>
        </w:rPr>
        <w:t>nationales</w:t>
      </w:r>
      <w:r w:rsidR="00AC4019">
        <w:rPr>
          <w:b/>
        </w:rPr>
        <w:t xml:space="preserve"> supérieures d’art (PEN)</w:t>
      </w:r>
    </w:p>
    <w:p w:rsidR="00AC4019" w:rsidRDefault="00AC4019" w:rsidP="00AD5AFB">
      <w:pPr>
        <w:jc w:val="center"/>
        <w:rPr>
          <w:b/>
        </w:rPr>
      </w:pPr>
    </w:p>
    <w:p w:rsidR="00AD5AFB" w:rsidRPr="00A16D70" w:rsidRDefault="00AD5AFB" w:rsidP="00AD5AFB">
      <w:pPr>
        <w:jc w:val="both"/>
        <w:rPr>
          <w:b/>
        </w:rPr>
      </w:pPr>
      <w:r w:rsidRPr="00A16D70">
        <w:rPr>
          <w:b/>
        </w:rPr>
        <w:t xml:space="preserve">Méthode : </w:t>
      </w:r>
    </w:p>
    <w:p w:rsidR="00AD5AFB" w:rsidRDefault="00AD5AFB" w:rsidP="00AD5AFB">
      <w:pPr>
        <w:jc w:val="both"/>
      </w:pPr>
      <w:r>
        <w:t>Un</w:t>
      </w:r>
      <w:r w:rsidR="00AC4019">
        <w:t xml:space="preserve"> formulaire d’</w:t>
      </w:r>
      <w:r>
        <w:t xml:space="preserve">enquête a été </w:t>
      </w:r>
      <w:r w:rsidR="00AC4019">
        <w:t>élaboré</w:t>
      </w:r>
      <w:r w:rsidR="00F708C4">
        <w:t xml:space="preserve"> </w:t>
      </w:r>
      <w:r>
        <w:t xml:space="preserve">par la DGCA et </w:t>
      </w:r>
      <w:r w:rsidR="00AC4019">
        <w:t>diffusé</w:t>
      </w:r>
      <w:r>
        <w:t xml:space="preserve"> par France Urbaine</w:t>
      </w:r>
      <w:r w:rsidR="00AC4019">
        <w:t>, en liaison avec l’ANDEA, aux directeurs de</w:t>
      </w:r>
      <w:r>
        <w:t xml:space="preserve"> 28 écoles </w:t>
      </w:r>
      <w:r w:rsidR="00AC4019">
        <w:t>supérieures d’art territoriales (ESA). Le même formulaire a été adressé par l</w:t>
      </w:r>
      <w:r>
        <w:t>a DGCA</w:t>
      </w:r>
      <w:r w:rsidR="00AC4019">
        <w:t xml:space="preserve"> aux directeurs de 6 ESA</w:t>
      </w:r>
      <w:r>
        <w:t xml:space="preserve"> </w:t>
      </w:r>
      <w:r w:rsidR="00AC4019">
        <w:t xml:space="preserve">non-membres de France Urbaine. Au total, 34 ESA territoriales ont été contactées </w:t>
      </w:r>
      <w:r>
        <w:t xml:space="preserve">(cf. liste en annexe). </w:t>
      </w:r>
    </w:p>
    <w:p w:rsidR="00AD5AFB" w:rsidRDefault="00AD5AFB" w:rsidP="00AD5AFB">
      <w:pPr>
        <w:jc w:val="both"/>
      </w:pPr>
      <w:r>
        <w:t xml:space="preserve">30 </w:t>
      </w:r>
      <w:r w:rsidR="00AC4019">
        <w:t>ESA</w:t>
      </w:r>
      <w:r>
        <w:t xml:space="preserve"> ont répondu. </w:t>
      </w:r>
    </w:p>
    <w:p w:rsidR="00AD5AFB" w:rsidRDefault="00AD5AFB" w:rsidP="00AD5AFB">
      <w:pPr>
        <w:jc w:val="both"/>
      </w:pPr>
      <w:r>
        <w:t xml:space="preserve">Sur ces 30 écoles, on a dénombré </w:t>
      </w:r>
      <w:r w:rsidRPr="00110EEF">
        <w:rPr>
          <w:b/>
        </w:rPr>
        <w:t>1024 enseignants</w:t>
      </w:r>
      <w:r>
        <w:t xml:space="preserve">, soit </w:t>
      </w:r>
      <w:r w:rsidRPr="00110EEF">
        <w:rPr>
          <w:b/>
        </w:rPr>
        <w:t>905 ETP</w:t>
      </w:r>
      <w:r>
        <w:t xml:space="preserve"> (88%) répartis comme suit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2220"/>
        <w:gridCol w:w="1701"/>
        <w:gridCol w:w="1701"/>
      </w:tblGrid>
      <w:tr w:rsidR="00AD5AFB" w:rsidTr="0079325C">
        <w:tc>
          <w:tcPr>
            <w:tcW w:w="3020" w:type="dxa"/>
          </w:tcPr>
          <w:p w:rsidR="00AD5AFB" w:rsidRDefault="00AD5AFB" w:rsidP="00AD5AFB">
            <w:pPr>
              <w:jc w:val="both"/>
            </w:pPr>
          </w:p>
        </w:tc>
        <w:tc>
          <w:tcPr>
            <w:tcW w:w="2220" w:type="dxa"/>
          </w:tcPr>
          <w:p w:rsidR="00AD5AFB" w:rsidRDefault="00AD5AFB" w:rsidP="00BA2844">
            <w:pPr>
              <w:jc w:val="center"/>
            </w:pPr>
            <w:r>
              <w:t>Personnes physiques</w:t>
            </w:r>
          </w:p>
        </w:tc>
        <w:tc>
          <w:tcPr>
            <w:tcW w:w="1701" w:type="dxa"/>
          </w:tcPr>
          <w:p w:rsidR="00AD5AFB" w:rsidRDefault="00AD5AFB" w:rsidP="00BA2844">
            <w:pPr>
              <w:jc w:val="center"/>
            </w:pPr>
            <w:r>
              <w:t>ETP</w:t>
            </w:r>
          </w:p>
        </w:tc>
        <w:tc>
          <w:tcPr>
            <w:tcW w:w="1701" w:type="dxa"/>
          </w:tcPr>
          <w:p w:rsidR="00AD5AFB" w:rsidRDefault="00AD5AFB" w:rsidP="00BA2844">
            <w:pPr>
              <w:jc w:val="center"/>
            </w:pPr>
            <w:r>
              <w:t>Soit en %</w:t>
            </w:r>
          </w:p>
        </w:tc>
      </w:tr>
      <w:tr w:rsidR="00AD5AFB" w:rsidTr="0079325C">
        <w:tc>
          <w:tcPr>
            <w:tcW w:w="3020" w:type="dxa"/>
          </w:tcPr>
          <w:p w:rsidR="00AD5AFB" w:rsidRPr="00110EEF" w:rsidRDefault="00AD5AFB" w:rsidP="00AD5AFB">
            <w:pPr>
              <w:jc w:val="both"/>
              <w:rPr>
                <w:highlight w:val="yellow"/>
              </w:rPr>
            </w:pPr>
            <w:r w:rsidRPr="00110EEF">
              <w:rPr>
                <w:highlight w:val="yellow"/>
              </w:rPr>
              <w:t>PEA</w:t>
            </w:r>
          </w:p>
        </w:tc>
        <w:tc>
          <w:tcPr>
            <w:tcW w:w="2220" w:type="dxa"/>
          </w:tcPr>
          <w:p w:rsidR="00AD5AFB" w:rsidRPr="00110EEF" w:rsidRDefault="00AD5AFB" w:rsidP="00BA2844">
            <w:pPr>
              <w:jc w:val="center"/>
              <w:rPr>
                <w:highlight w:val="yellow"/>
              </w:rPr>
            </w:pPr>
            <w:r w:rsidRPr="00110EEF">
              <w:rPr>
                <w:highlight w:val="yellow"/>
              </w:rPr>
              <w:t>510</w:t>
            </w:r>
          </w:p>
        </w:tc>
        <w:tc>
          <w:tcPr>
            <w:tcW w:w="1701" w:type="dxa"/>
          </w:tcPr>
          <w:p w:rsidR="00AD5AFB" w:rsidRPr="00110EEF" w:rsidRDefault="00AD5AFB" w:rsidP="00BA2844">
            <w:pPr>
              <w:jc w:val="center"/>
              <w:rPr>
                <w:highlight w:val="yellow"/>
              </w:rPr>
            </w:pPr>
            <w:r w:rsidRPr="00110EEF">
              <w:rPr>
                <w:highlight w:val="yellow"/>
              </w:rPr>
              <w:t>489</w:t>
            </w:r>
          </w:p>
        </w:tc>
        <w:tc>
          <w:tcPr>
            <w:tcW w:w="1701" w:type="dxa"/>
          </w:tcPr>
          <w:p w:rsidR="00AD5AFB" w:rsidRPr="00110EEF" w:rsidRDefault="00AD5AFB" w:rsidP="00BA2844">
            <w:pPr>
              <w:jc w:val="center"/>
              <w:rPr>
                <w:highlight w:val="yellow"/>
              </w:rPr>
            </w:pPr>
            <w:r w:rsidRPr="00110EEF">
              <w:rPr>
                <w:highlight w:val="yellow"/>
              </w:rPr>
              <w:t>96%</w:t>
            </w:r>
          </w:p>
        </w:tc>
      </w:tr>
      <w:tr w:rsidR="00AD5AFB" w:rsidTr="0079325C">
        <w:tc>
          <w:tcPr>
            <w:tcW w:w="3020" w:type="dxa"/>
          </w:tcPr>
          <w:p w:rsidR="00AD5AFB" w:rsidRPr="00F708C4" w:rsidRDefault="00AD5AFB" w:rsidP="00AD5AFB">
            <w:pPr>
              <w:jc w:val="right"/>
              <w:rPr>
                <w:sz w:val="18"/>
                <w:szCs w:val="18"/>
              </w:rPr>
            </w:pPr>
            <w:r w:rsidRPr="00F708C4">
              <w:rPr>
                <w:sz w:val="18"/>
                <w:szCs w:val="18"/>
              </w:rPr>
              <w:t xml:space="preserve"> Soit en % du total</w:t>
            </w:r>
          </w:p>
        </w:tc>
        <w:tc>
          <w:tcPr>
            <w:tcW w:w="2220" w:type="dxa"/>
          </w:tcPr>
          <w:p w:rsidR="00AD5AFB" w:rsidRPr="00F708C4" w:rsidRDefault="00BA2844" w:rsidP="00BA2844">
            <w:pPr>
              <w:jc w:val="center"/>
              <w:rPr>
                <w:sz w:val="18"/>
                <w:szCs w:val="18"/>
              </w:rPr>
            </w:pPr>
            <w:r w:rsidRPr="00F708C4">
              <w:rPr>
                <w:sz w:val="18"/>
                <w:szCs w:val="18"/>
              </w:rPr>
              <w:t>50%</w:t>
            </w:r>
          </w:p>
        </w:tc>
        <w:tc>
          <w:tcPr>
            <w:tcW w:w="1701" w:type="dxa"/>
          </w:tcPr>
          <w:p w:rsidR="00AD5AFB" w:rsidRPr="00F708C4" w:rsidRDefault="00BA2844" w:rsidP="00BA2844">
            <w:pPr>
              <w:jc w:val="center"/>
              <w:rPr>
                <w:sz w:val="18"/>
                <w:szCs w:val="18"/>
              </w:rPr>
            </w:pPr>
            <w:r w:rsidRPr="00F708C4">
              <w:rPr>
                <w:sz w:val="18"/>
                <w:szCs w:val="18"/>
              </w:rPr>
              <w:t>54%</w:t>
            </w:r>
          </w:p>
        </w:tc>
        <w:tc>
          <w:tcPr>
            <w:tcW w:w="1701" w:type="dxa"/>
          </w:tcPr>
          <w:p w:rsidR="00AD5AFB" w:rsidRPr="00F708C4" w:rsidRDefault="00AD5AFB" w:rsidP="00BA2844">
            <w:pPr>
              <w:jc w:val="center"/>
              <w:rPr>
                <w:sz w:val="18"/>
                <w:szCs w:val="18"/>
              </w:rPr>
            </w:pPr>
          </w:p>
        </w:tc>
      </w:tr>
      <w:tr w:rsidR="00BA2844" w:rsidTr="0079325C">
        <w:tc>
          <w:tcPr>
            <w:tcW w:w="3020" w:type="dxa"/>
          </w:tcPr>
          <w:p w:rsidR="00BA2844" w:rsidRDefault="00BA2844" w:rsidP="00BA2844">
            <w:pPr>
              <w:jc w:val="both"/>
            </w:pPr>
            <w:r>
              <w:t>Contractuels</w:t>
            </w:r>
          </w:p>
        </w:tc>
        <w:tc>
          <w:tcPr>
            <w:tcW w:w="2220" w:type="dxa"/>
          </w:tcPr>
          <w:p w:rsidR="00BA2844" w:rsidRDefault="00BA2844" w:rsidP="00BA2844">
            <w:pPr>
              <w:jc w:val="center"/>
            </w:pPr>
            <w:r>
              <w:t>513</w:t>
            </w:r>
          </w:p>
        </w:tc>
        <w:tc>
          <w:tcPr>
            <w:tcW w:w="1701" w:type="dxa"/>
          </w:tcPr>
          <w:p w:rsidR="00BA2844" w:rsidRDefault="00BA2844" w:rsidP="00BA2844">
            <w:pPr>
              <w:jc w:val="center"/>
            </w:pPr>
            <w:r>
              <w:t>415</w:t>
            </w:r>
          </w:p>
        </w:tc>
        <w:tc>
          <w:tcPr>
            <w:tcW w:w="1701" w:type="dxa"/>
          </w:tcPr>
          <w:p w:rsidR="00BA2844" w:rsidRDefault="00BA2844" w:rsidP="00BA2844">
            <w:pPr>
              <w:jc w:val="center"/>
            </w:pPr>
            <w:r>
              <w:t>81%</w:t>
            </w:r>
          </w:p>
        </w:tc>
      </w:tr>
      <w:tr w:rsidR="00BA2844" w:rsidTr="0079325C">
        <w:tc>
          <w:tcPr>
            <w:tcW w:w="3020" w:type="dxa"/>
          </w:tcPr>
          <w:p w:rsidR="00BA2844" w:rsidRPr="00F708C4" w:rsidRDefault="00BA2844" w:rsidP="00BA2844">
            <w:pPr>
              <w:jc w:val="right"/>
              <w:rPr>
                <w:sz w:val="18"/>
                <w:szCs w:val="18"/>
              </w:rPr>
            </w:pPr>
            <w:r w:rsidRPr="00F708C4">
              <w:rPr>
                <w:sz w:val="18"/>
                <w:szCs w:val="18"/>
              </w:rPr>
              <w:t>Soit en % du total</w:t>
            </w:r>
          </w:p>
        </w:tc>
        <w:tc>
          <w:tcPr>
            <w:tcW w:w="2220" w:type="dxa"/>
          </w:tcPr>
          <w:p w:rsidR="00BA2844" w:rsidRPr="00F708C4" w:rsidRDefault="00BA2844" w:rsidP="00BA2844">
            <w:pPr>
              <w:jc w:val="center"/>
              <w:rPr>
                <w:sz w:val="18"/>
                <w:szCs w:val="18"/>
              </w:rPr>
            </w:pPr>
            <w:r w:rsidRPr="00F708C4">
              <w:rPr>
                <w:sz w:val="18"/>
                <w:szCs w:val="18"/>
              </w:rPr>
              <w:t>50%</w:t>
            </w:r>
          </w:p>
        </w:tc>
        <w:tc>
          <w:tcPr>
            <w:tcW w:w="1701" w:type="dxa"/>
          </w:tcPr>
          <w:p w:rsidR="00BA2844" w:rsidRPr="00F708C4" w:rsidRDefault="00BA2844" w:rsidP="00BA2844">
            <w:pPr>
              <w:jc w:val="center"/>
              <w:rPr>
                <w:sz w:val="18"/>
                <w:szCs w:val="18"/>
              </w:rPr>
            </w:pPr>
            <w:r w:rsidRPr="00F708C4">
              <w:rPr>
                <w:sz w:val="18"/>
                <w:szCs w:val="18"/>
              </w:rPr>
              <w:t>46%</w:t>
            </w:r>
          </w:p>
        </w:tc>
        <w:tc>
          <w:tcPr>
            <w:tcW w:w="1701" w:type="dxa"/>
          </w:tcPr>
          <w:p w:rsidR="00BA2844" w:rsidRPr="00F708C4" w:rsidRDefault="00BA2844" w:rsidP="00BA2844">
            <w:pPr>
              <w:jc w:val="center"/>
              <w:rPr>
                <w:sz w:val="18"/>
                <w:szCs w:val="18"/>
              </w:rPr>
            </w:pPr>
          </w:p>
        </w:tc>
      </w:tr>
      <w:tr w:rsidR="00BA2844" w:rsidTr="0079325C">
        <w:tc>
          <w:tcPr>
            <w:tcW w:w="3020" w:type="dxa"/>
          </w:tcPr>
          <w:p w:rsidR="00BA2844" w:rsidRDefault="00BA2844" w:rsidP="00BA2844">
            <w:pPr>
              <w:jc w:val="both"/>
            </w:pPr>
            <w:r>
              <w:t>Autres (détachement MESRI)</w:t>
            </w:r>
          </w:p>
        </w:tc>
        <w:tc>
          <w:tcPr>
            <w:tcW w:w="2220" w:type="dxa"/>
          </w:tcPr>
          <w:p w:rsidR="00BA2844" w:rsidRDefault="00BA2844" w:rsidP="00BA2844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BA2844" w:rsidRDefault="00BA2844" w:rsidP="00BA2844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BA2844" w:rsidRDefault="00A16D70" w:rsidP="00BA2844">
            <w:pPr>
              <w:jc w:val="center"/>
            </w:pPr>
            <w:r>
              <w:t>100%</w:t>
            </w:r>
          </w:p>
        </w:tc>
      </w:tr>
      <w:tr w:rsidR="00BA2844" w:rsidTr="0079325C">
        <w:tc>
          <w:tcPr>
            <w:tcW w:w="3020" w:type="dxa"/>
          </w:tcPr>
          <w:p w:rsidR="00BA2844" w:rsidRDefault="00BA2844" w:rsidP="00BA2844">
            <w:pPr>
              <w:jc w:val="both"/>
            </w:pPr>
            <w:r>
              <w:t>TOTAL</w:t>
            </w:r>
          </w:p>
        </w:tc>
        <w:tc>
          <w:tcPr>
            <w:tcW w:w="2220" w:type="dxa"/>
          </w:tcPr>
          <w:p w:rsidR="00BA2844" w:rsidRDefault="00BA2844" w:rsidP="00BA2844">
            <w:pPr>
              <w:jc w:val="center"/>
            </w:pPr>
            <w:r>
              <w:t>1024</w:t>
            </w:r>
          </w:p>
        </w:tc>
        <w:tc>
          <w:tcPr>
            <w:tcW w:w="1701" w:type="dxa"/>
          </w:tcPr>
          <w:p w:rsidR="00BA2844" w:rsidRDefault="00BA2844" w:rsidP="00BA2844">
            <w:pPr>
              <w:jc w:val="center"/>
            </w:pPr>
            <w:r>
              <w:t>905</w:t>
            </w:r>
          </w:p>
        </w:tc>
        <w:tc>
          <w:tcPr>
            <w:tcW w:w="1701" w:type="dxa"/>
          </w:tcPr>
          <w:p w:rsidR="00BA2844" w:rsidRDefault="00BA2844" w:rsidP="00BA2844">
            <w:pPr>
              <w:jc w:val="center"/>
            </w:pPr>
            <w:r>
              <w:t>88%</w:t>
            </w:r>
          </w:p>
        </w:tc>
      </w:tr>
    </w:tbl>
    <w:p w:rsidR="005F0DF2" w:rsidRDefault="005F0DF2" w:rsidP="00AD5AFB">
      <w:pPr>
        <w:jc w:val="both"/>
      </w:pPr>
    </w:p>
    <w:p w:rsidR="00BA2844" w:rsidRDefault="00BA2844" w:rsidP="00AD5AFB">
      <w:pPr>
        <w:jc w:val="both"/>
      </w:pPr>
      <w:r>
        <w:t>On s’est ici exclusivement intéressé à la population des PEA</w:t>
      </w:r>
      <w:r w:rsidR="00110EEF">
        <w:t>,</w:t>
      </w:r>
      <w:r>
        <w:t xml:space="preserve"> soit 510 </w:t>
      </w:r>
      <w:r w:rsidR="00110EEF">
        <w:t>agents</w:t>
      </w:r>
      <w:r>
        <w:t xml:space="preserve"> </w:t>
      </w:r>
      <w:r w:rsidR="00110EEF">
        <w:t>représentant</w:t>
      </w:r>
      <w:r>
        <w:t xml:space="preserve"> 489 ETP</w:t>
      </w:r>
      <w:r w:rsidR="00110EEF">
        <w:t>.</w:t>
      </w:r>
    </w:p>
    <w:p w:rsidR="004914CF" w:rsidRDefault="00BA2844" w:rsidP="00AD5AFB">
      <w:pPr>
        <w:jc w:val="both"/>
      </w:pPr>
      <w:r>
        <w:t xml:space="preserve">Pour </w:t>
      </w:r>
      <w:r w:rsidR="004914CF">
        <w:t xml:space="preserve">le reste des calculs : </w:t>
      </w:r>
    </w:p>
    <w:p w:rsidR="004914CF" w:rsidRDefault="00110EEF" w:rsidP="00FC10E3">
      <w:pPr>
        <w:pStyle w:val="Paragraphedeliste"/>
        <w:numPr>
          <w:ilvl w:val="0"/>
          <w:numId w:val="1"/>
        </w:numPr>
        <w:jc w:val="both"/>
      </w:pPr>
      <w:r>
        <w:t>u</w:t>
      </w:r>
      <w:r w:rsidR="00BA2844">
        <w:t>n</w:t>
      </w:r>
      <w:r>
        <w:t xml:space="preserve"> premier</w:t>
      </w:r>
      <w:r w:rsidR="00BA2844">
        <w:t xml:space="preserve"> coefficient multiplicateur a été appliqué afin de </w:t>
      </w:r>
      <w:r>
        <w:t xml:space="preserve">réaliser une estimation </w:t>
      </w:r>
      <w:r w:rsidR="00BA2844">
        <w:t xml:space="preserve">pour 34 écoles </w:t>
      </w:r>
      <w:r>
        <w:t>à partir des données réunies sur 30 d’entre elles</w:t>
      </w:r>
      <w:r w:rsidR="00BA2844">
        <w:t xml:space="preserve"> (co</w:t>
      </w:r>
      <w:r w:rsidR="00672AB4">
        <w:t>ef</w:t>
      </w:r>
      <w:r w:rsidR="00BA2844">
        <w:t> : 34/30 = 1.13)</w:t>
      </w:r>
      <w:r w:rsidR="004914CF">
        <w:t> ;</w:t>
      </w:r>
    </w:p>
    <w:p w:rsidR="00BA2844" w:rsidRDefault="004914CF" w:rsidP="00FC10E3">
      <w:pPr>
        <w:pStyle w:val="Paragraphedeliste"/>
        <w:numPr>
          <w:ilvl w:val="0"/>
          <w:numId w:val="1"/>
        </w:numPr>
        <w:jc w:val="both"/>
      </w:pPr>
      <w:r>
        <w:t>u</w:t>
      </w:r>
      <w:r w:rsidR="00BA2844">
        <w:t>n second coef</w:t>
      </w:r>
      <w:r w:rsidR="00F708C4">
        <w:t>ficient</w:t>
      </w:r>
      <w:r w:rsidR="00BA2844">
        <w:t xml:space="preserve"> a été appliqué afin de proportionnaliser les résultats </w:t>
      </w:r>
      <w:r w:rsidR="00110EEF">
        <w:t>au</w:t>
      </w:r>
      <w:r w:rsidR="00BA2844">
        <w:t xml:space="preserve"> nombre d’ETP </w:t>
      </w:r>
      <w:r w:rsidR="00110EEF">
        <w:t>à partir de données relatives à des agents, soit 96% ;</w:t>
      </w:r>
    </w:p>
    <w:p w:rsidR="00A16D70" w:rsidRDefault="00110EEF" w:rsidP="00FC10E3">
      <w:pPr>
        <w:pStyle w:val="Paragraphedeliste"/>
        <w:numPr>
          <w:ilvl w:val="0"/>
          <w:numId w:val="1"/>
        </w:numPr>
        <w:jc w:val="both"/>
      </w:pPr>
      <w:r>
        <w:t>t</w:t>
      </w:r>
      <w:r w:rsidR="00A16D70">
        <w:t xml:space="preserve">ous les calculs </w:t>
      </w:r>
      <w:r>
        <w:t>ont été</w:t>
      </w:r>
      <w:r w:rsidR="00A16D70">
        <w:t xml:space="preserve"> réalisés sur les indices majorés et hors primes éventuelles</w:t>
      </w:r>
      <w:r w:rsidR="00F708C4">
        <w:t>.</w:t>
      </w:r>
    </w:p>
    <w:p w:rsidR="005F0DF2" w:rsidRDefault="005F0DF2" w:rsidP="00F2038B">
      <w:pPr>
        <w:jc w:val="both"/>
        <w:rPr>
          <w:b/>
        </w:rPr>
      </w:pPr>
    </w:p>
    <w:p w:rsidR="00F2038B" w:rsidRPr="00A16D70" w:rsidRDefault="00F2038B" w:rsidP="00F2038B">
      <w:pPr>
        <w:jc w:val="both"/>
        <w:rPr>
          <w:b/>
        </w:rPr>
      </w:pPr>
      <w:r w:rsidRPr="00A16D70">
        <w:rPr>
          <w:b/>
        </w:rPr>
        <w:t xml:space="preserve">Remarques liminaires : </w:t>
      </w:r>
    </w:p>
    <w:p w:rsidR="00F2038B" w:rsidRDefault="00110EEF" w:rsidP="00F2038B">
      <w:pPr>
        <w:jc w:val="both"/>
      </w:pPr>
      <w:r>
        <w:t>L’ensemble du travail d’estimation a été réalisé à partir des éléments déclarés par les écoles, dont la cohérence globale a été éprouvée, la DGCA ne disposant</w:t>
      </w:r>
      <w:r w:rsidR="00F2038B">
        <w:t xml:space="preserve"> pas </w:t>
      </w:r>
      <w:r>
        <w:t>des</w:t>
      </w:r>
      <w:r w:rsidR="00F2038B">
        <w:t xml:space="preserve"> moyens de vérifier </w:t>
      </w:r>
      <w:r>
        <w:t>la véracité des</w:t>
      </w:r>
      <w:r w:rsidR="00F2038B">
        <w:t xml:space="preserve"> informations </w:t>
      </w:r>
      <w:r>
        <w:t>fournies</w:t>
      </w:r>
      <w:r w:rsidR="00F2038B">
        <w:t xml:space="preserve"> par les </w:t>
      </w:r>
      <w:r>
        <w:t>écoles.</w:t>
      </w:r>
      <w:r w:rsidR="00F2038B">
        <w:t xml:space="preserve"> </w:t>
      </w:r>
    </w:p>
    <w:p w:rsidR="00F2038B" w:rsidRDefault="00110EEF" w:rsidP="00F2038B">
      <w:pPr>
        <w:jc w:val="both"/>
      </w:pPr>
      <w:r>
        <w:t>Parmi</w:t>
      </w:r>
      <w:r w:rsidR="00F2038B">
        <w:t xml:space="preserve"> les incohérences </w:t>
      </w:r>
      <w:r>
        <w:t>relevées</w:t>
      </w:r>
      <w:r w:rsidR="00F2038B">
        <w:t xml:space="preserve">, </w:t>
      </w:r>
      <w:r>
        <w:t>des différences sont apparues entre</w:t>
      </w:r>
      <w:r w:rsidR="00F2038B">
        <w:t xml:space="preserve"> </w:t>
      </w:r>
      <w:r>
        <w:t>les différentes écoles, voire au sein d’une même école entre les classes et les</w:t>
      </w:r>
      <w:r w:rsidR="00F2038B">
        <w:t xml:space="preserve"> échelon</w:t>
      </w:r>
      <w:r>
        <w:t>s, et les indices mentionnés dans le questionnaire</w:t>
      </w:r>
      <w:r w:rsidR="00F2038B">
        <w:t xml:space="preserve">. Cette situation </w:t>
      </w:r>
      <w:r w:rsidR="00854023">
        <w:t>est susceptible d’avoir affecté à la</w:t>
      </w:r>
      <w:r w:rsidR="00F2038B">
        <w:t xml:space="preserve"> marge les résultats finaux. </w:t>
      </w:r>
    </w:p>
    <w:p w:rsidR="00F2038B" w:rsidRDefault="00E456AD" w:rsidP="00F2038B">
      <w:pPr>
        <w:jc w:val="both"/>
      </w:pPr>
      <w:r>
        <w:t>Des</w:t>
      </w:r>
      <w:r w:rsidR="00F2038B">
        <w:t xml:space="preserve"> différences importantes </w:t>
      </w:r>
      <w:r>
        <w:t>entre les</w:t>
      </w:r>
      <w:r w:rsidR="00F2038B">
        <w:t xml:space="preserve"> salaires </w:t>
      </w:r>
      <w:r>
        <w:t>déclarés pour un même indice</w:t>
      </w:r>
      <w:r w:rsidR="00F2038B">
        <w:t xml:space="preserve"> ont </w:t>
      </w:r>
      <w:r>
        <w:t>aussi</w:t>
      </w:r>
      <w:r w:rsidR="00F2038B">
        <w:t xml:space="preserve"> pu être notées. </w:t>
      </w:r>
    </w:p>
    <w:p w:rsidR="00F2038B" w:rsidRDefault="00F2038B" w:rsidP="00F2038B">
      <w:pPr>
        <w:jc w:val="both"/>
      </w:pPr>
      <w:r>
        <w:t xml:space="preserve">Le travail ne s’est donc pas fondé sur les salaires donnés à titre indicatif par les écoles (des différences d’appréciation sur les charges ou les primes à prendre en compte ayant pu entrer en jeu), mais uniquement sur la classe, l’échelon et l’indice associé. </w:t>
      </w:r>
    </w:p>
    <w:p w:rsidR="005F0DF2" w:rsidRDefault="005F0DF2" w:rsidP="00F2038B">
      <w:pPr>
        <w:jc w:val="both"/>
      </w:pPr>
      <w:r>
        <w:t>Le calcul effectué suppose globalement inchangé l’horaire de face-à-face pédagogique des PEA</w:t>
      </w:r>
      <w:r w:rsidR="00F4604C">
        <w:t xml:space="preserve"> concernés par l’alignement</w:t>
      </w:r>
      <w:r>
        <w:t>.</w:t>
      </w:r>
    </w:p>
    <w:p w:rsidR="00EB0212" w:rsidRDefault="00E456AD" w:rsidP="00F2038B">
      <w:pPr>
        <w:jc w:val="both"/>
      </w:pPr>
      <w:r>
        <w:lastRenderedPageBreak/>
        <w:t>Les</w:t>
      </w:r>
      <w:r w:rsidR="00F2038B">
        <w:t xml:space="preserve"> résultats </w:t>
      </w:r>
      <w:r>
        <w:t>mentionnés ci-après</w:t>
      </w:r>
      <w:r w:rsidR="00F2038B">
        <w:t xml:space="preserve"> </w:t>
      </w:r>
      <w:r>
        <w:t>s’analysent comme</w:t>
      </w:r>
      <w:r w:rsidR="00F2038B">
        <w:t xml:space="preserve"> une indication du </w:t>
      </w:r>
      <w:r w:rsidR="00F2038B" w:rsidRPr="00E456AD">
        <w:rPr>
          <w:b/>
        </w:rPr>
        <w:t>coût global</w:t>
      </w:r>
      <w:r w:rsidR="00F2038B">
        <w:t xml:space="preserve"> de la mesure d’alignement</w:t>
      </w:r>
      <w:r>
        <w:t>. E</w:t>
      </w:r>
      <w:r w:rsidR="00F2038B">
        <w:t>n effet, un travail individuel sera réalisé par les écoles et les collectivités territoriales et il n’</w:t>
      </w:r>
      <w:r>
        <w:t>était</w:t>
      </w:r>
      <w:r w:rsidR="00F2038B">
        <w:t xml:space="preserve"> pas possible </w:t>
      </w:r>
      <w:r>
        <w:t xml:space="preserve">ici </w:t>
      </w:r>
      <w:r w:rsidR="00F2038B">
        <w:t>d’</w:t>
      </w:r>
      <w:r>
        <w:t xml:space="preserve">en </w:t>
      </w:r>
      <w:r w:rsidR="00F2038B">
        <w:t xml:space="preserve">apprécier </w:t>
      </w:r>
      <w:r>
        <w:t>l’impact sur les situations individuelles de chaque agent. Il s’agit enfin d’</w:t>
      </w:r>
      <w:r w:rsidR="00EB0212">
        <w:t xml:space="preserve">un </w:t>
      </w:r>
      <w:r w:rsidR="00EB0212" w:rsidRPr="00E456AD">
        <w:rPr>
          <w:b/>
        </w:rPr>
        <w:t>coût d’entrée</w:t>
      </w:r>
      <w:r w:rsidR="00EB0212">
        <w:t>, les coûts</w:t>
      </w:r>
      <w:r>
        <w:t xml:space="preserve"> devant apparaitre au cours</w:t>
      </w:r>
      <w:r w:rsidR="00EB0212">
        <w:t xml:space="preserve"> des années à venir dépendant de facteur</w:t>
      </w:r>
      <w:r>
        <w:t>s non encore connus ou prédictibles à ce stade</w:t>
      </w:r>
      <w:r w:rsidR="00EB0212">
        <w:t>.</w:t>
      </w:r>
    </w:p>
    <w:p w:rsidR="00E456AD" w:rsidRDefault="00E456AD" w:rsidP="00F2038B">
      <w:pPr>
        <w:jc w:val="both"/>
        <w:rPr>
          <w:b/>
        </w:rPr>
      </w:pPr>
    </w:p>
    <w:p w:rsidR="00F2038B" w:rsidRPr="001354D0" w:rsidRDefault="005F0DF2" w:rsidP="00F2038B">
      <w:pPr>
        <w:jc w:val="both"/>
        <w:rPr>
          <w:b/>
        </w:rPr>
      </w:pPr>
      <w:r>
        <w:rPr>
          <w:b/>
        </w:rPr>
        <w:t>Méthode de calcul</w:t>
      </w:r>
      <w:r w:rsidR="00F2038B" w:rsidRPr="001354D0">
        <w:rPr>
          <w:b/>
        </w:rPr>
        <w:t xml:space="preserve"> : </w:t>
      </w:r>
    </w:p>
    <w:p w:rsidR="00F2038B" w:rsidRDefault="00E456AD" w:rsidP="00F2038B">
      <w:pPr>
        <w:jc w:val="both"/>
      </w:pPr>
      <w:r>
        <w:t>S</w:t>
      </w:r>
      <w:r w:rsidR="00F2038B">
        <w:t>ont utilisées</w:t>
      </w:r>
      <w:r>
        <w:t xml:space="preserve"> les catégories de données suivantes</w:t>
      </w:r>
      <w:r w:rsidR="00F2038B">
        <w:t xml:space="preserve"> : </w:t>
      </w:r>
    </w:p>
    <w:p w:rsidR="00F2038B" w:rsidRDefault="00F2038B" w:rsidP="00F2038B">
      <w:pPr>
        <w:pStyle w:val="Paragraphedeliste"/>
        <w:numPr>
          <w:ilvl w:val="0"/>
          <w:numId w:val="1"/>
        </w:numPr>
        <w:jc w:val="both"/>
      </w:pPr>
      <w:r>
        <w:t>indices donnés par les écoles pour les 510 agents concernés (sur 30 écoles</w:t>
      </w:r>
      <w:r w:rsidR="00E456AD">
        <w:t>, soit environ</w:t>
      </w:r>
      <w:r>
        <w:t xml:space="preserve"> 578 agents sur 34 écoles)</w:t>
      </w:r>
    </w:p>
    <w:p w:rsidR="00F2038B" w:rsidRDefault="00F2038B" w:rsidP="00F2038B">
      <w:pPr>
        <w:pStyle w:val="Paragraphedeliste"/>
        <w:numPr>
          <w:ilvl w:val="0"/>
          <w:numId w:val="1"/>
        </w:numPr>
        <w:jc w:val="both"/>
      </w:pPr>
      <w:r>
        <w:t>indices théoriques (qui auraient normalement dû être appliqués) correspondant aux classes et é</w:t>
      </w:r>
      <w:r w:rsidR="00E456AD">
        <w:t>chelons indiqués par les écoles</w:t>
      </w:r>
      <w:r>
        <w:t xml:space="preserve">, c’est-à-dire la grille des indices majorés pour les PEA territoriaux </w:t>
      </w:r>
      <w:r w:rsidR="00DC0928">
        <w:t xml:space="preserve">en 2017 </w:t>
      </w:r>
      <w:r>
        <w:t>(source SRH)</w:t>
      </w:r>
    </w:p>
    <w:p w:rsidR="00F2038B" w:rsidRDefault="00F2038B" w:rsidP="00F2038B">
      <w:pPr>
        <w:pStyle w:val="Paragraphedeliste"/>
        <w:numPr>
          <w:ilvl w:val="0"/>
          <w:numId w:val="1"/>
        </w:numPr>
        <w:jc w:val="both"/>
      </w:pPr>
      <w:r>
        <w:t xml:space="preserve">grille des indices majorés intégrant </w:t>
      </w:r>
      <w:r w:rsidR="00E456AD">
        <w:t xml:space="preserve">le </w:t>
      </w:r>
      <w:r>
        <w:t>PPCR et projetés à 2020 pour les PEA territoriaux (source SRH)</w:t>
      </w:r>
    </w:p>
    <w:p w:rsidR="00DC0928" w:rsidRDefault="00DC0928" w:rsidP="00DC0928">
      <w:pPr>
        <w:pStyle w:val="Paragraphedeliste"/>
        <w:numPr>
          <w:ilvl w:val="0"/>
          <w:numId w:val="1"/>
        </w:numPr>
        <w:jc w:val="both"/>
      </w:pPr>
      <w:r>
        <w:t>grille des indices majorés pour les PEN en 2017 (source SRH)</w:t>
      </w:r>
    </w:p>
    <w:p w:rsidR="00DC0928" w:rsidRDefault="00DC0928" w:rsidP="00DC0928">
      <w:pPr>
        <w:pStyle w:val="Paragraphedeliste"/>
        <w:numPr>
          <w:ilvl w:val="0"/>
          <w:numId w:val="1"/>
        </w:numPr>
        <w:jc w:val="both"/>
      </w:pPr>
      <w:r>
        <w:t>grille des indices majorés projetés à 2020 pour les PEN (source SRH)</w:t>
      </w:r>
    </w:p>
    <w:p w:rsidR="00DC0928" w:rsidRPr="00A16D70" w:rsidRDefault="00E34A80" w:rsidP="00DC0928">
      <w:pPr>
        <w:jc w:val="both"/>
        <w:rPr>
          <w:b/>
        </w:rPr>
      </w:pPr>
      <w:r w:rsidRPr="00A16D70">
        <w:rPr>
          <w:b/>
        </w:rPr>
        <w:t>L</w:t>
      </w:r>
      <w:r w:rsidR="00DC0928" w:rsidRPr="00A16D70">
        <w:rPr>
          <w:b/>
        </w:rPr>
        <w:t xml:space="preserve">es écarts présentés ici </w:t>
      </w:r>
      <w:r w:rsidR="00E456AD">
        <w:rPr>
          <w:b/>
        </w:rPr>
        <w:t>matérialisent</w:t>
      </w:r>
      <w:r w:rsidR="00DC0928" w:rsidRPr="00A16D70">
        <w:rPr>
          <w:b/>
        </w:rPr>
        <w:t xml:space="preserve"> donc « 2 marches » </w:t>
      </w:r>
      <w:r w:rsidR="00E456AD">
        <w:rPr>
          <w:b/>
        </w:rPr>
        <w:t xml:space="preserve">de hausse du coût </w:t>
      </w:r>
      <w:r w:rsidR="009E6027">
        <w:rPr>
          <w:b/>
        </w:rPr>
        <w:t xml:space="preserve">de rémunération de la population globale des </w:t>
      </w:r>
      <w:r w:rsidR="00E456AD">
        <w:rPr>
          <w:b/>
        </w:rPr>
        <w:t xml:space="preserve">PEA </w:t>
      </w:r>
      <w:r w:rsidR="009E6027">
        <w:rPr>
          <w:b/>
        </w:rPr>
        <w:t xml:space="preserve">concernés </w:t>
      </w:r>
      <w:r w:rsidR="00E456AD">
        <w:rPr>
          <w:b/>
        </w:rPr>
        <w:t xml:space="preserve">vers la grille </w:t>
      </w:r>
      <w:r w:rsidR="009E6027">
        <w:rPr>
          <w:b/>
        </w:rPr>
        <w:t>cible</w:t>
      </w:r>
      <w:r w:rsidR="00DC0928" w:rsidRPr="00A16D70">
        <w:rPr>
          <w:b/>
        </w:rPr>
        <w:t xml:space="preserve"> : </w:t>
      </w:r>
    </w:p>
    <w:p w:rsidR="00DC0928" w:rsidRDefault="00DC0928" w:rsidP="00DC0928">
      <w:pPr>
        <w:pStyle w:val="Paragraphedeliste"/>
        <w:numPr>
          <w:ilvl w:val="0"/>
          <w:numId w:val="1"/>
        </w:numPr>
        <w:jc w:val="both"/>
      </w:pPr>
      <w:r>
        <w:t>la première permettant aux PEA d’atteindre la grille actuelle des PEN</w:t>
      </w:r>
    </w:p>
    <w:p w:rsidR="00DC0928" w:rsidRDefault="00DC0928" w:rsidP="00DC0928">
      <w:pPr>
        <w:pStyle w:val="Paragraphedeliste"/>
        <w:numPr>
          <w:ilvl w:val="0"/>
          <w:numId w:val="1"/>
        </w:numPr>
        <w:jc w:val="both"/>
      </w:pPr>
      <w:r>
        <w:t>la seconde permettant aux PEA, une fois la grille actuelle des PEN atteinte, d’atteindre la grille PEN projetée à 2020 (telle que transmise à la DGAFP)</w:t>
      </w:r>
      <w:r w:rsidR="009E6027">
        <w:t>.</w:t>
      </w:r>
    </w:p>
    <w:p w:rsidR="0075000B" w:rsidRPr="0011687E" w:rsidRDefault="005F0DF2" w:rsidP="0075000B">
      <w:pPr>
        <w:jc w:val="both"/>
        <w:rPr>
          <w:b/>
        </w:rPr>
      </w:pPr>
      <w:r>
        <w:rPr>
          <w:b/>
        </w:rPr>
        <w:t>Variantes du calcul</w:t>
      </w:r>
      <w:r w:rsidR="009E6027" w:rsidRPr="0011687E">
        <w:rPr>
          <w:b/>
        </w:rPr>
        <w:t> :</w:t>
      </w:r>
      <w:r w:rsidR="0075000B" w:rsidRPr="0011687E">
        <w:rPr>
          <w:b/>
        </w:rPr>
        <w:t xml:space="preserve"> </w:t>
      </w:r>
    </w:p>
    <w:p w:rsidR="0075000B" w:rsidRDefault="0075000B" w:rsidP="0075000B">
      <w:pPr>
        <w:pStyle w:val="Paragraphedeliste"/>
        <w:numPr>
          <w:ilvl w:val="0"/>
          <w:numId w:val="1"/>
        </w:numPr>
        <w:jc w:val="both"/>
      </w:pPr>
      <w:r>
        <w:t xml:space="preserve">point de départ : indices donnés par les écoles ou indices théoriques </w:t>
      </w:r>
      <w:r w:rsidR="009A33F1">
        <w:t xml:space="preserve">tels qu’impliqués par la classe et l’échelon </w:t>
      </w:r>
    </w:p>
    <w:p w:rsidR="009A33F1" w:rsidRDefault="009A33F1" w:rsidP="0075000B">
      <w:pPr>
        <w:pStyle w:val="Paragraphedeliste"/>
        <w:numPr>
          <w:ilvl w:val="0"/>
          <w:numId w:val="1"/>
        </w:numPr>
        <w:jc w:val="both"/>
      </w:pPr>
      <w:r>
        <w:t>prise en compte ou non de l’évolution automatique que va connaître la grille des PEA entre 2017 et 2020 avec intégration de PPCR</w:t>
      </w:r>
    </w:p>
    <w:p w:rsidR="009A33F1" w:rsidRDefault="009A33F1" w:rsidP="0075000B">
      <w:pPr>
        <w:pStyle w:val="Paragraphedeliste"/>
        <w:numPr>
          <w:ilvl w:val="0"/>
          <w:numId w:val="1"/>
        </w:numPr>
        <w:jc w:val="both"/>
      </w:pPr>
      <w:r>
        <w:t xml:space="preserve">prise en compte ou non d’un avancement d’un échelon automatique pour tous les agents étant dans leur échelon depuis plus de 2 ans. </w:t>
      </w:r>
    </w:p>
    <w:p w:rsidR="005F0DF2" w:rsidRDefault="005F0DF2" w:rsidP="005F0688">
      <w:pPr>
        <w:jc w:val="both"/>
        <w:rPr>
          <w:b/>
          <w:u w:val="single"/>
        </w:rPr>
      </w:pPr>
    </w:p>
    <w:p w:rsidR="005F0688" w:rsidRPr="005F0688" w:rsidRDefault="005F0688" w:rsidP="005F0688">
      <w:pPr>
        <w:jc w:val="both"/>
        <w:rPr>
          <w:b/>
        </w:rPr>
      </w:pPr>
      <w:r w:rsidRPr="005F0DF2">
        <w:rPr>
          <w:b/>
          <w:u w:val="single"/>
        </w:rPr>
        <w:t>Résultats</w:t>
      </w:r>
      <w:r w:rsidR="0011687E" w:rsidRPr="005F0DF2">
        <w:rPr>
          <w:b/>
          <w:u w:val="single"/>
        </w:rPr>
        <w:t xml:space="preserve"> des travaux d’estimation</w:t>
      </w:r>
      <w:r w:rsidRPr="00A16D70">
        <w:rPr>
          <w:b/>
        </w:rPr>
        <w:t> </w:t>
      </w:r>
    </w:p>
    <w:p w:rsidR="005F0688" w:rsidRPr="005F0DF2" w:rsidRDefault="005F0688" w:rsidP="005F0688">
      <w:pPr>
        <w:jc w:val="both"/>
      </w:pPr>
      <w:r w:rsidRPr="005F0688">
        <w:rPr>
          <w:b/>
        </w:rPr>
        <w:t xml:space="preserve">Hypothèse 1 : </w:t>
      </w:r>
      <w:r w:rsidRPr="005F0DF2">
        <w:t>co</w:t>
      </w:r>
      <w:r w:rsidR="0011687E" w:rsidRPr="005F0DF2">
        <w:t>nsidérant que la grille des PEA</w:t>
      </w:r>
      <w:r w:rsidRPr="005F0DF2">
        <w:t xml:space="preserve"> connaîtra une évolution automatique intégrant PPCR, cette </w:t>
      </w:r>
      <w:r w:rsidR="005F0DF2">
        <w:t>estimation des coûts ne couvre</w:t>
      </w:r>
      <w:r w:rsidRPr="005F0DF2">
        <w:t xml:space="preserve"> que l’écart existant entre </w:t>
      </w:r>
      <w:r w:rsidR="005F0DF2">
        <w:t>la</w:t>
      </w:r>
      <w:r w:rsidRPr="005F0DF2">
        <w:t xml:space="preserve"> future grille des</w:t>
      </w:r>
      <w:r w:rsidR="0011687E" w:rsidRPr="005F0DF2">
        <w:t xml:space="preserve"> PEA</w:t>
      </w:r>
      <w:r w:rsidRPr="005F0DF2">
        <w:t xml:space="preserve"> 2020 et la future grille des PEN 2020 (</w:t>
      </w:r>
      <w:r w:rsidR="005F0DF2" w:rsidRPr="005F0DF2">
        <w:rPr>
          <w:b/>
          <w:u w:val="single"/>
        </w:rPr>
        <w:t xml:space="preserve">coût </w:t>
      </w:r>
      <w:r w:rsidRPr="005F0DF2">
        <w:rPr>
          <w:b/>
          <w:u w:val="single"/>
        </w:rPr>
        <w:t>total</w:t>
      </w:r>
      <w:r w:rsidR="005F0DF2">
        <w:rPr>
          <w:b/>
          <w:u w:val="single"/>
        </w:rPr>
        <w:t> =</w:t>
      </w:r>
      <w:r w:rsidRPr="005F0DF2">
        <w:rPr>
          <w:b/>
          <w:u w:val="single"/>
        </w:rPr>
        <w:t xml:space="preserve"> 1.71 M€</w:t>
      </w:r>
      <w:r w:rsidRPr="005F0DF2">
        <w:t>)</w:t>
      </w:r>
      <w:r w:rsidR="005F0DF2">
        <w:t>.</w:t>
      </w:r>
    </w:p>
    <w:p w:rsidR="005F0688" w:rsidRPr="005F0DF2" w:rsidRDefault="005F0688" w:rsidP="005F0688">
      <w:pPr>
        <w:jc w:val="both"/>
      </w:pPr>
      <w:r w:rsidRPr="005F0688">
        <w:rPr>
          <w:b/>
        </w:rPr>
        <w:t xml:space="preserve">Hypothèse 2 : </w:t>
      </w:r>
      <w:r w:rsidR="0011687E" w:rsidRPr="005F0DF2">
        <w:t>prise en compte</w:t>
      </w:r>
      <w:r w:rsidRPr="005F0DF2">
        <w:t xml:space="preserve"> </w:t>
      </w:r>
      <w:r w:rsidR="0011687E" w:rsidRPr="005F0DF2">
        <w:t>de</w:t>
      </w:r>
      <w:r w:rsidRPr="005F0DF2">
        <w:t xml:space="preserve"> l’écart entre l’actuelle grille des PEA (2017) </w:t>
      </w:r>
      <w:r w:rsidR="00F63CE6" w:rsidRPr="005F0DF2">
        <w:t>e</w:t>
      </w:r>
      <w:r w:rsidRPr="005F0DF2">
        <w:t>t l’actuelle grille des PEN (2017) (</w:t>
      </w:r>
      <w:r w:rsidR="0011687E" w:rsidRPr="005F0DF2">
        <w:t>soit environ</w:t>
      </w:r>
      <w:r w:rsidRPr="005F0DF2">
        <w:t xml:space="preserve"> 0.92 M€) </w:t>
      </w:r>
      <w:r w:rsidR="005F0DF2">
        <w:t>et</w:t>
      </w:r>
      <w:r w:rsidR="0011687E" w:rsidRPr="005F0DF2">
        <w:t xml:space="preserve"> de</w:t>
      </w:r>
      <w:r w:rsidRPr="005F0DF2">
        <w:t xml:space="preserve"> l’écart entre l’actuelle grille des PEN (2017) et la future grille des PEN (2020) (</w:t>
      </w:r>
      <w:r w:rsidR="005F0DF2">
        <w:t>soit environ</w:t>
      </w:r>
      <w:r w:rsidRPr="005F0DF2">
        <w:t xml:space="preserve"> 1.22 M€</w:t>
      </w:r>
      <w:r w:rsidR="005F0DF2">
        <w:t>),</w:t>
      </w:r>
      <w:r w:rsidRPr="005F0DF2">
        <w:t xml:space="preserve"> soit</w:t>
      </w:r>
      <w:r w:rsidR="005F0DF2">
        <w:t xml:space="preserve"> un </w:t>
      </w:r>
      <w:r w:rsidR="005F0DF2" w:rsidRPr="005F0DF2">
        <w:rPr>
          <w:b/>
          <w:u w:val="single"/>
        </w:rPr>
        <w:t>coût total </w:t>
      </w:r>
      <w:r w:rsidR="005F0DF2">
        <w:rPr>
          <w:b/>
          <w:u w:val="single"/>
        </w:rPr>
        <w:t>= 2.13 M€</w:t>
      </w:r>
      <w:r w:rsidRPr="005F0DF2">
        <w:t xml:space="preserve">) </w:t>
      </w:r>
    </w:p>
    <w:p w:rsidR="005F0688" w:rsidRPr="005F0DF2" w:rsidRDefault="005F0688" w:rsidP="005F0688">
      <w:pPr>
        <w:jc w:val="both"/>
      </w:pPr>
      <w:r w:rsidRPr="005F0688">
        <w:rPr>
          <w:b/>
        </w:rPr>
        <w:t xml:space="preserve">Hypothèse 3 : </w:t>
      </w:r>
      <w:r w:rsidRPr="005F0DF2">
        <w:t>l’hypothèse est la même que l’hypothèse 2 mais en prenant en compte l’avancement automatique d’un échelon pour tout agent étant dans son actuel échelon depuis plus de 2 ans. (env</w:t>
      </w:r>
      <w:r w:rsidR="005F0DF2">
        <w:t>iron</w:t>
      </w:r>
      <w:r w:rsidR="00F63CE6" w:rsidRPr="005F0DF2">
        <w:t> </w:t>
      </w:r>
      <w:r w:rsidRPr="005F0DF2">
        <w:t xml:space="preserve">3.45 + 0.98 soit </w:t>
      </w:r>
      <w:r w:rsidR="005F0DF2">
        <w:t xml:space="preserve">un </w:t>
      </w:r>
      <w:r w:rsidR="005F0DF2" w:rsidRPr="005F0DF2">
        <w:rPr>
          <w:b/>
          <w:u w:val="single"/>
        </w:rPr>
        <w:t xml:space="preserve">coût total = </w:t>
      </w:r>
      <w:r w:rsidRPr="005F0DF2">
        <w:rPr>
          <w:b/>
          <w:u w:val="single"/>
        </w:rPr>
        <w:t>4.53 M€</w:t>
      </w:r>
      <w:r w:rsidR="005F0DF2">
        <w:t>)</w:t>
      </w:r>
      <w:r w:rsidR="00637E44" w:rsidRPr="005F0DF2">
        <w:t>.</w:t>
      </w:r>
    </w:p>
    <w:p w:rsidR="00A16D70" w:rsidRDefault="00A16D70" w:rsidP="00A16D70">
      <w:pPr>
        <w:jc w:val="both"/>
      </w:pPr>
    </w:p>
    <w:p w:rsidR="00A16D70" w:rsidRPr="00A16D70" w:rsidRDefault="00637E44" w:rsidP="00A16D70">
      <w:pPr>
        <w:jc w:val="both"/>
        <w:rPr>
          <w:b/>
        </w:rPr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470535</wp:posOffset>
            </wp:positionV>
            <wp:extent cx="5411470" cy="3900170"/>
            <wp:effectExtent l="0" t="0" r="0" b="508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1470" cy="3900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4604C">
        <w:rPr>
          <w:b/>
        </w:rPr>
        <w:t>Une fourchette d’</w:t>
      </w:r>
      <w:r w:rsidR="005F0DF2">
        <w:rPr>
          <w:b/>
        </w:rPr>
        <w:t>estimation du coût</w:t>
      </w:r>
      <w:r w:rsidR="00A16D70" w:rsidRPr="00A16D70">
        <w:rPr>
          <w:b/>
        </w:rPr>
        <w:t xml:space="preserve"> d’entrée de l’alignement des PEA </w:t>
      </w:r>
      <w:r w:rsidR="005F0DF2">
        <w:rPr>
          <w:b/>
        </w:rPr>
        <w:t xml:space="preserve">des ESA </w:t>
      </w:r>
      <w:r w:rsidR="00A16D70" w:rsidRPr="00A16D70">
        <w:rPr>
          <w:b/>
        </w:rPr>
        <w:t xml:space="preserve">sur </w:t>
      </w:r>
      <w:r w:rsidR="005F0DF2">
        <w:rPr>
          <w:b/>
        </w:rPr>
        <w:t>la grille</w:t>
      </w:r>
      <w:r w:rsidR="00F4604C">
        <w:rPr>
          <w:b/>
        </w:rPr>
        <w:t xml:space="preserve"> des PEN allant de 1.7 M€ et 4.6 M€, selon la méthode de calcul</w:t>
      </w:r>
      <w:r w:rsidR="00A16D70" w:rsidRPr="00A16D70">
        <w:rPr>
          <w:b/>
        </w:rPr>
        <w:t xml:space="preserve"> : </w:t>
      </w:r>
    </w:p>
    <w:p w:rsidR="00EB0212" w:rsidRDefault="00EB0212" w:rsidP="00EB0212">
      <w:pPr>
        <w:jc w:val="both"/>
      </w:pPr>
    </w:p>
    <w:p w:rsidR="00DC0928" w:rsidRDefault="00637E44" w:rsidP="00DC0928">
      <w:pPr>
        <w:jc w:val="both"/>
      </w:pPr>
      <w:r>
        <w:rPr>
          <w:noProof/>
          <w:lang w:eastAsia="fr-FR"/>
        </w:rPr>
        <w:drawing>
          <wp:inline distT="0" distB="0" distL="0" distR="0" wp14:anchorId="5731C3EA">
            <wp:extent cx="5158858" cy="3495704"/>
            <wp:effectExtent l="0" t="0" r="381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344" cy="3502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2038B" w:rsidRDefault="00F2038B" w:rsidP="00F2038B">
      <w:pPr>
        <w:jc w:val="both"/>
      </w:pPr>
    </w:p>
    <w:p w:rsidR="0014573F" w:rsidRDefault="0014573F" w:rsidP="00F2038B">
      <w:pPr>
        <w:jc w:val="both"/>
      </w:pPr>
    </w:p>
    <w:p w:rsidR="0014573F" w:rsidRDefault="0014573F">
      <w:r>
        <w:br w:type="page"/>
      </w:r>
    </w:p>
    <w:p w:rsidR="00F2038B" w:rsidRPr="00C0160B" w:rsidRDefault="00A16D70" w:rsidP="00F2038B">
      <w:pPr>
        <w:jc w:val="both"/>
        <w:rPr>
          <w:b/>
        </w:rPr>
      </w:pPr>
      <w:r w:rsidRPr="00C0160B">
        <w:rPr>
          <w:b/>
        </w:rPr>
        <w:lastRenderedPageBreak/>
        <w:t xml:space="preserve">Annexes : </w:t>
      </w:r>
    </w:p>
    <w:p w:rsidR="00A16D70" w:rsidRDefault="00A16D70" w:rsidP="00F2038B">
      <w:pPr>
        <w:jc w:val="both"/>
      </w:pPr>
    </w:p>
    <w:p w:rsidR="00A16D70" w:rsidRDefault="00A16D70" w:rsidP="00F2038B">
      <w:pPr>
        <w:jc w:val="both"/>
      </w:pPr>
      <w:r>
        <w:t xml:space="preserve">Chiffres détaillés : </w:t>
      </w:r>
    </w:p>
    <w:p w:rsidR="00A16D70" w:rsidRDefault="00A16D70" w:rsidP="00F2038B">
      <w:pPr>
        <w:jc w:val="both"/>
      </w:pPr>
      <w:r w:rsidRPr="00A16D70">
        <w:rPr>
          <w:noProof/>
          <w:lang w:eastAsia="fr-FR"/>
        </w:rPr>
        <w:drawing>
          <wp:inline distT="0" distB="0" distL="0" distR="0">
            <wp:extent cx="5381625" cy="1466850"/>
            <wp:effectExtent l="0" t="0" r="952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D70" w:rsidRDefault="00A16D70" w:rsidP="00F2038B">
      <w:pPr>
        <w:jc w:val="both"/>
      </w:pPr>
    </w:p>
    <w:p w:rsidR="00A16D70" w:rsidRDefault="00A16D70" w:rsidP="00F2038B">
      <w:pPr>
        <w:jc w:val="both"/>
      </w:pPr>
      <w:r w:rsidRPr="00A16D70">
        <w:rPr>
          <w:noProof/>
          <w:lang w:eastAsia="fr-FR"/>
        </w:rPr>
        <w:drawing>
          <wp:inline distT="0" distB="0" distL="0" distR="0">
            <wp:extent cx="5760720" cy="1125826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25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D70" w:rsidRDefault="00A16D70" w:rsidP="00F2038B">
      <w:pPr>
        <w:jc w:val="both"/>
      </w:pPr>
    </w:p>
    <w:p w:rsidR="00A16D70" w:rsidRDefault="00A16D70" w:rsidP="00F2038B">
      <w:pPr>
        <w:jc w:val="both"/>
      </w:pPr>
      <w:r w:rsidRPr="00A16D70">
        <w:rPr>
          <w:noProof/>
          <w:lang w:eastAsia="fr-FR"/>
        </w:rPr>
        <w:drawing>
          <wp:inline distT="0" distB="0" distL="0" distR="0">
            <wp:extent cx="5760720" cy="1747223"/>
            <wp:effectExtent l="0" t="0" r="0" b="571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47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D70" w:rsidRDefault="00A16D70" w:rsidP="00F2038B">
      <w:pPr>
        <w:jc w:val="both"/>
      </w:pPr>
    </w:p>
    <w:p w:rsidR="00A16D70" w:rsidRDefault="00A16D70" w:rsidP="00F2038B">
      <w:pPr>
        <w:jc w:val="both"/>
      </w:pPr>
      <w:r w:rsidRPr="00A16D70">
        <w:rPr>
          <w:noProof/>
          <w:lang w:eastAsia="fr-FR"/>
        </w:rPr>
        <w:drawing>
          <wp:inline distT="0" distB="0" distL="0" distR="0">
            <wp:extent cx="5760720" cy="1871503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71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D70" w:rsidRDefault="00A16D70" w:rsidP="00F2038B">
      <w:pPr>
        <w:jc w:val="both"/>
      </w:pPr>
    </w:p>
    <w:p w:rsidR="00637E44" w:rsidRDefault="00637E44" w:rsidP="00F2038B">
      <w:pPr>
        <w:jc w:val="both"/>
      </w:pPr>
    </w:p>
    <w:p w:rsidR="00A16D70" w:rsidRDefault="00A16D70" w:rsidP="00F2038B">
      <w:pPr>
        <w:jc w:val="both"/>
      </w:pPr>
    </w:p>
    <w:p w:rsidR="00A16D70" w:rsidRDefault="00073F70" w:rsidP="00F2038B">
      <w:pPr>
        <w:jc w:val="both"/>
      </w:pPr>
      <w:r>
        <w:t>Grilles (sources SRH)</w:t>
      </w:r>
    </w:p>
    <w:p w:rsidR="00073F70" w:rsidRDefault="00073F70" w:rsidP="00F2038B">
      <w:pPr>
        <w:jc w:val="both"/>
      </w:pPr>
      <w:r w:rsidRPr="00073F70">
        <w:rPr>
          <w:noProof/>
          <w:lang w:eastAsia="fr-FR"/>
        </w:rPr>
        <w:drawing>
          <wp:inline distT="0" distB="0" distL="0" distR="0">
            <wp:extent cx="6343650" cy="3747521"/>
            <wp:effectExtent l="0" t="0" r="0" b="571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9916" cy="375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D70" w:rsidRDefault="00A16D70" w:rsidP="00F2038B">
      <w:pPr>
        <w:jc w:val="both"/>
      </w:pPr>
    </w:p>
    <w:p w:rsidR="00637E44" w:rsidRDefault="00637E44">
      <w:r>
        <w:br w:type="page"/>
      </w:r>
    </w:p>
    <w:p w:rsidR="00A16D70" w:rsidRDefault="00637E44" w:rsidP="00F2038B">
      <w:pPr>
        <w:jc w:val="both"/>
      </w:pPr>
      <w:r w:rsidRPr="00637E44">
        <w:rPr>
          <w:noProof/>
          <w:lang w:eastAsia="fr-FR"/>
        </w:rPr>
        <w:lastRenderedPageBreak/>
        <w:drawing>
          <wp:inline distT="0" distB="0" distL="0" distR="0">
            <wp:extent cx="5759450" cy="5560009"/>
            <wp:effectExtent l="0" t="0" r="0" b="3175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560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D70" w:rsidRDefault="00A16D70" w:rsidP="00F2038B">
      <w:pPr>
        <w:jc w:val="both"/>
      </w:pPr>
    </w:p>
    <w:p w:rsidR="00A16D70" w:rsidRDefault="00A16D70" w:rsidP="00F2038B">
      <w:pPr>
        <w:jc w:val="both"/>
      </w:pPr>
    </w:p>
    <w:p w:rsidR="00A16D70" w:rsidRDefault="00A16D70" w:rsidP="00F2038B">
      <w:pPr>
        <w:jc w:val="both"/>
      </w:pPr>
    </w:p>
    <w:p w:rsidR="00A16D70" w:rsidRPr="00AD5AFB" w:rsidRDefault="00A16D70" w:rsidP="00F2038B">
      <w:pPr>
        <w:jc w:val="both"/>
      </w:pPr>
    </w:p>
    <w:sectPr w:rsidR="00A16D70" w:rsidRPr="00AD5AFB" w:rsidSect="00637E44">
      <w:headerReference w:type="default" r:id="rId15"/>
      <w:footerReference w:type="default" r:id="rId16"/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452" w:rsidRDefault="007E5452" w:rsidP="001354D0">
      <w:pPr>
        <w:spacing w:after="0" w:line="240" w:lineRule="auto"/>
      </w:pPr>
      <w:r>
        <w:separator/>
      </w:r>
    </w:p>
  </w:endnote>
  <w:endnote w:type="continuationSeparator" w:id="0">
    <w:p w:rsidR="007E5452" w:rsidRDefault="007E5452" w:rsidP="00135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114" w:rsidRDefault="000F6114">
    <w:pPr>
      <w:pStyle w:val="Pieddepage"/>
    </w:pPr>
    <w:r>
      <w:t xml:space="preserve">DGCA / SDEESR / Bureau des établissements </w:t>
    </w:r>
  </w:p>
  <w:p w:rsidR="001354D0" w:rsidRDefault="001354D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452" w:rsidRDefault="007E5452" w:rsidP="001354D0">
      <w:pPr>
        <w:spacing w:after="0" w:line="240" w:lineRule="auto"/>
      </w:pPr>
      <w:r>
        <w:separator/>
      </w:r>
    </w:p>
  </w:footnote>
  <w:footnote w:type="continuationSeparator" w:id="0">
    <w:p w:rsidR="007E5452" w:rsidRDefault="007E5452" w:rsidP="00135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679912"/>
      <w:docPartObj>
        <w:docPartGallery w:val="Page Numbers (Top of Page)"/>
        <w:docPartUnique/>
      </w:docPartObj>
    </w:sdtPr>
    <w:sdtEndPr/>
    <w:sdtContent>
      <w:p w:rsidR="002C1874" w:rsidRDefault="002C1874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1756">
          <w:rPr>
            <w:noProof/>
          </w:rPr>
          <w:t>2</w:t>
        </w:r>
        <w:r>
          <w:fldChar w:fldCharType="end"/>
        </w:r>
      </w:p>
    </w:sdtContent>
  </w:sdt>
  <w:p w:rsidR="002C1874" w:rsidRDefault="002C187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D5363"/>
    <w:multiLevelType w:val="hybridMultilevel"/>
    <w:tmpl w:val="4CEE9D9C"/>
    <w:lvl w:ilvl="0" w:tplc="9A02CC0A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AFB"/>
    <w:rsid w:val="00073F70"/>
    <w:rsid w:val="000F6114"/>
    <w:rsid w:val="00110EEF"/>
    <w:rsid w:val="0011668A"/>
    <w:rsid w:val="0011687E"/>
    <w:rsid w:val="001354D0"/>
    <w:rsid w:val="0014573F"/>
    <w:rsid w:val="002C1874"/>
    <w:rsid w:val="003A7F65"/>
    <w:rsid w:val="00424177"/>
    <w:rsid w:val="004914CF"/>
    <w:rsid w:val="004B7961"/>
    <w:rsid w:val="005D5562"/>
    <w:rsid w:val="005F0688"/>
    <w:rsid w:val="005F0DF2"/>
    <w:rsid w:val="00637E44"/>
    <w:rsid w:val="00672AB4"/>
    <w:rsid w:val="00681756"/>
    <w:rsid w:val="0075000B"/>
    <w:rsid w:val="007E5452"/>
    <w:rsid w:val="00854023"/>
    <w:rsid w:val="009A33F1"/>
    <w:rsid w:val="009E6027"/>
    <w:rsid w:val="00A13C03"/>
    <w:rsid w:val="00A16D70"/>
    <w:rsid w:val="00AC4019"/>
    <w:rsid w:val="00AD5AFB"/>
    <w:rsid w:val="00AE0BA0"/>
    <w:rsid w:val="00BA2844"/>
    <w:rsid w:val="00C0160B"/>
    <w:rsid w:val="00DC0928"/>
    <w:rsid w:val="00E34A80"/>
    <w:rsid w:val="00E456AD"/>
    <w:rsid w:val="00EB0212"/>
    <w:rsid w:val="00EC70DB"/>
    <w:rsid w:val="00F1726B"/>
    <w:rsid w:val="00F2038B"/>
    <w:rsid w:val="00F4604C"/>
    <w:rsid w:val="00F57F25"/>
    <w:rsid w:val="00F63CE6"/>
    <w:rsid w:val="00F708C4"/>
    <w:rsid w:val="00F7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0C351A-C7DD-4669-903C-984CA187D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D5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914C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354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4D0"/>
  </w:style>
  <w:style w:type="paragraph" w:styleId="Pieddepage">
    <w:name w:val="footer"/>
    <w:basedOn w:val="Normal"/>
    <w:link w:val="PieddepageCar"/>
    <w:uiPriority w:val="99"/>
    <w:unhideWhenUsed/>
    <w:rsid w:val="001354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4D0"/>
  </w:style>
  <w:style w:type="paragraph" w:styleId="Textedebulles">
    <w:name w:val="Balloon Text"/>
    <w:basedOn w:val="Normal"/>
    <w:link w:val="TextedebullesCar"/>
    <w:uiPriority w:val="99"/>
    <w:semiHidden/>
    <w:unhideWhenUsed/>
    <w:rsid w:val="00135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354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836</Words>
  <Characters>4603</Characters>
  <Application>Microsoft Office Word</Application>
  <DocSecurity>4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Culture</Company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virginie.chapus</dc:creator>
  <cp:keywords/>
  <dc:description/>
  <cp:lastModifiedBy>virginie.chapus</cp:lastModifiedBy>
  <cp:revision>2</cp:revision>
  <cp:lastPrinted>2018-05-24T06:34:00Z</cp:lastPrinted>
  <dcterms:created xsi:type="dcterms:W3CDTF">2018-05-24T14:52:00Z</dcterms:created>
  <dcterms:modified xsi:type="dcterms:W3CDTF">2018-05-24T14:52:00Z</dcterms:modified>
</cp:coreProperties>
</file>