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spacing w:after="0" w:before="0"/>
      </w:pPr>
      <w:r>
        <w:rPr>
          <w:u w:val="single"/>
          <w:b/>
        </w:rPr>
        <w:t>Réunion des responsables de pôle  - séance du mardi 9 avril 2013</w:t>
      </w:r>
    </w:p>
    <w:p>
      <w:pPr>
        <w:pStyle w:val="style0"/>
        <w:jc w:val="both"/>
        <w:spacing w:after="0" w:before="0"/>
      </w:pPr>
      <w:r>
        <w:rPr>
          <w:sz w:val="24"/>
          <w:b/>
          <w:szCs w:val="24"/>
        </w:rPr>
      </w:r>
    </w:p>
    <w:p>
      <w:pPr>
        <w:pStyle w:val="style0"/>
        <w:jc w:val="both"/>
        <w:spacing w:after="0" w:before="0"/>
      </w:pPr>
      <w:r>
        <w:rPr>
          <w:sz w:val="20"/>
          <w:szCs w:val="20"/>
        </w:rPr>
        <w:t>Présents : Zeev Gourarier, Denis Chevalier, Emilie Girard, Marie Charlotte Calafat, Edouard de Laubrie, Valérie Ranson, Mireille Jacotin, Isabelle Marquette, Sophie Feret, Frédéric Mougenot, Jean Roch Bouiller - Secrétariat de la séance : Vanessa Becker</w:t>
      </w:r>
    </w:p>
    <w:p>
      <w:pPr>
        <w:pStyle w:val="style0"/>
        <w:jc w:val="both"/>
        <w:spacing w:after="0" w:before="0"/>
      </w:pPr>
      <w:r>
        <w:rPr>
          <w:sz w:val="20"/>
          <w:szCs w:val="20"/>
        </w:rPr>
        <w:t>Excusées : Myriam Morel, Marie Pascale Mallet</w:t>
      </w:r>
    </w:p>
    <w:p>
      <w:pPr>
        <w:pStyle w:val="style0"/>
        <w:jc w:val="both"/>
        <w:spacing w:after="0" w:before="0"/>
      </w:pPr>
      <w:r>
        <w:rPr>
          <w:sz w:val="20"/>
          <w:szCs w:val="20"/>
        </w:rPr>
        <w:t xml:space="preserve"> </w:t>
      </w:r>
    </w:p>
    <w:p>
      <w:pPr>
        <w:pStyle w:val="style23"/>
        <w:numPr>
          <w:ilvl w:val="0"/>
          <w:numId w:val="1"/>
        </w:numPr>
        <w:jc w:val="both"/>
        <w:spacing w:after="0" w:before="0"/>
      </w:pPr>
      <w:r>
        <w:rPr>
          <w:u w:val="single"/>
          <w:b/>
        </w:rPr>
        <w:t>Rencontre Mucem/Conservateurs marseillais</w:t>
      </w:r>
    </w:p>
    <w:p>
      <w:pPr>
        <w:pStyle w:val="style0"/>
        <w:jc w:val="both"/>
        <w:spacing w:after="0" w:before="0"/>
      </w:pPr>
      <w:r>
        <w:rPr/>
        <w:t>A programmer 2 fois par an pour présenter les programmes d’expositions.</w:t>
      </w:r>
    </w:p>
    <w:p>
      <w:pPr>
        <w:pStyle w:val="style0"/>
        <w:jc w:val="both"/>
        <w:spacing w:after="0" w:before="0"/>
      </w:pPr>
      <w:r>
        <w:rPr/>
        <w:t>Experts/référents : Mireille Jacotin, Marie-Pascale Mallet et Jean-Roch Bouiller.</w:t>
      </w:r>
    </w:p>
    <w:p>
      <w:pPr>
        <w:pStyle w:val="style0"/>
        <w:jc w:val="both"/>
        <w:spacing w:after="0" w:before="0"/>
      </w:pPr>
      <w:r>
        <w:rPr/>
      </w:r>
    </w:p>
    <w:p>
      <w:pPr>
        <w:pStyle w:val="style23"/>
        <w:numPr>
          <w:ilvl w:val="0"/>
          <w:numId w:val="1"/>
        </w:numPr>
        <w:jc w:val="both"/>
        <w:spacing w:after="0" w:before="0"/>
      </w:pPr>
      <w:r>
        <w:rPr>
          <w:u w:val="single"/>
          <w:b/>
        </w:rPr>
        <w:t>Politique d’acquisition</w:t>
      </w:r>
    </w:p>
    <w:p>
      <w:pPr>
        <w:pStyle w:val="style0"/>
        <w:jc w:val="both"/>
        <w:spacing w:after="0" w:before="0"/>
      </w:pPr>
      <w:r>
        <w:rPr>
          <w:b/>
        </w:rPr>
        <w:t>Zeev Gourarier</w:t>
      </w:r>
      <w:r>
        <w:rPr/>
        <w:t xml:space="preserve"> informe que le projet d’arrêté de création d’acquisition a été transmis à Bruno Suzzarelli (attente d’un retour d’ici juin).</w:t>
      </w:r>
    </w:p>
    <w:p>
      <w:pPr>
        <w:pStyle w:val="style0"/>
        <w:jc w:val="both"/>
        <w:spacing w:after="0" w:before="0"/>
      </w:pPr>
      <w:r>
        <w:rPr/>
        <w:t>Pas d’acquisition tant que la commission ne s’est pas réunie.</w:t>
      </w:r>
    </w:p>
    <w:p>
      <w:pPr>
        <w:pStyle w:val="style0"/>
        <w:jc w:val="both"/>
        <w:spacing w:after="0" w:before="0"/>
      </w:pPr>
      <w:r>
        <w:rPr/>
        <w:t>Musée spécialisé dans le contemporain - Politique d’acquisition : élargir les champs</w:t>
      </w:r>
    </w:p>
    <w:p>
      <w:pPr>
        <w:pStyle w:val="style0"/>
        <w:jc w:val="both"/>
        <w:spacing w:after="0" w:before="0"/>
      </w:pPr>
      <w:r>
        <w:rPr/>
        <w:t>Objet « primaire » : en rapport direct avec le sujet / Objet « secondaire » : discours tenu sur le sujet Archéologie = primaire / Histoire = secondaire</w:t>
      </w:r>
    </w:p>
    <w:p>
      <w:pPr>
        <w:pStyle w:val="style0"/>
        <w:jc w:val="both"/>
        <w:spacing w:after="0" w:before="0"/>
      </w:pPr>
      <w:r>
        <w:rPr/>
        <w:t>Qu’est ce que le musée doit acheter ? Objet d’archéologie à acquérir ? Campagne ? Si oui pourquoi ?</w:t>
      </w:r>
    </w:p>
    <w:p>
      <w:pPr>
        <w:pStyle w:val="style0"/>
        <w:jc w:val="both"/>
        <w:spacing w:after="0" w:before="0"/>
      </w:pPr>
      <w:r>
        <w:rPr>
          <w:b/>
        </w:rPr>
      </w:r>
    </w:p>
    <w:p>
      <w:pPr>
        <w:pStyle w:val="style0"/>
        <w:jc w:val="both"/>
        <w:spacing w:after="0" w:before="0"/>
      </w:pPr>
      <w:r>
        <w:rPr>
          <w:b/>
        </w:rPr>
        <w:t>Jean Roch Bouiller</w:t>
      </w:r>
      <w:r>
        <w:rPr/>
        <w:t> : Champs à élargir en rapport avec nos sujets et collections déjà existants.</w:t>
      </w:r>
    </w:p>
    <w:p>
      <w:pPr>
        <w:pStyle w:val="style0"/>
        <w:jc w:val="both"/>
        <w:spacing w:after="0" w:before="0"/>
      </w:pPr>
      <w:r>
        <w:rPr>
          <w:b/>
        </w:rPr>
      </w:r>
    </w:p>
    <w:p>
      <w:pPr>
        <w:pStyle w:val="style0"/>
        <w:jc w:val="both"/>
        <w:spacing w:after="0" w:before="0"/>
      </w:pPr>
      <w:r>
        <w:rPr>
          <w:b/>
        </w:rPr>
        <w:t>Mireille Jacotin</w:t>
      </w:r>
      <w:r>
        <w:rPr/>
        <w:t> fait référence à l’exposition de Soody Sharifi qui crée des Maxitures.</w:t>
      </w:r>
    </w:p>
    <w:p>
      <w:pPr>
        <w:pStyle w:val="style0"/>
        <w:jc w:val="both"/>
        <w:spacing w:after="0" w:before="0"/>
      </w:pPr>
      <w:r>
        <w:rPr>
          <w:b/>
        </w:rPr>
      </w:r>
    </w:p>
    <w:p>
      <w:pPr>
        <w:pStyle w:val="style0"/>
        <w:jc w:val="both"/>
        <w:spacing w:after="0" w:before="0"/>
      </w:pPr>
      <w:r>
        <w:rPr>
          <w:b/>
        </w:rPr>
        <w:t>Sophie</w:t>
      </w:r>
      <w:r>
        <w:rPr/>
        <w:t xml:space="preserve"> </w:t>
      </w:r>
      <w:r>
        <w:rPr>
          <w:b/>
        </w:rPr>
        <w:t>Feret</w:t>
      </w:r>
      <w:r>
        <w:rPr/>
        <w:t xml:space="preserve"> s’interroge  sur le processus de collecte archéologique : un objet, peut-il représenter, à lui seul une large période ? </w:t>
      </w:r>
    </w:p>
    <w:p>
      <w:pPr>
        <w:pStyle w:val="style0"/>
        <w:jc w:val="both"/>
        <w:spacing w:after="0" w:before="0"/>
      </w:pPr>
      <w:r>
        <w:rPr>
          <w:b/>
        </w:rPr>
      </w:r>
    </w:p>
    <w:p>
      <w:pPr>
        <w:pStyle w:val="style0"/>
        <w:jc w:val="both"/>
        <w:spacing w:after="0" w:before="0"/>
      </w:pPr>
      <w:r>
        <w:rPr>
          <w:b/>
        </w:rPr>
        <w:t>Zeev Gourarier</w:t>
      </w:r>
      <w:r>
        <w:rPr/>
        <w:t>: Faut-il rester sur les champs des ATP ou faut-il un élargissement ? Si oui Jusqu’où ? Pourquoi ?</w:t>
      </w:r>
    </w:p>
    <w:p>
      <w:pPr>
        <w:pStyle w:val="style0"/>
        <w:jc w:val="both"/>
        <w:spacing w:after="0" w:before="0"/>
      </w:pPr>
      <w:r>
        <w:rPr/>
        <w:t>L’objectif est de définir le contexte d’une nouvelle politique d’acquisition.</w:t>
      </w:r>
    </w:p>
    <w:p>
      <w:pPr>
        <w:pStyle w:val="style0"/>
        <w:jc w:val="both"/>
        <w:spacing w:after="0" w:before="0"/>
      </w:pPr>
      <w:r>
        <w:rPr/>
      </w:r>
    </w:p>
    <w:p>
      <w:pPr>
        <w:pStyle w:val="style23"/>
        <w:numPr>
          <w:ilvl w:val="0"/>
          <w:numId w:val="1"/>
        </w:numPr>
        <w:jc w:val="both"/>
        <w:spacing w:after="0" w:before="0"/>
      </w:pPr>
      <w:r>
        <w:rPr>
          <w:u w:val="single"/>
          <w:b/>
        </w:rPr>
        <w:t>Pôle d’Isabelle Marquette : Mobilité, métissage, communication</w:t>
      </w:r>
    </w:p>
    <w:p>
      <w:pPr>
        <w:pStyle w:val="style0"/>
        <w:jc w:val="both"/>
        <w:spacing w:after="0" w:before="0"/>
      </w:pPr>
      <w:r>
        <w:rPr/>
        <w:t>Pas de connaissance des collections pour l’instant.</w:t>
      </w:r>
    </w:p>
    <w:p>
      <w:pPr>
        <w:pStyle w:val="style0"/>
        <w:jc w:val="both"/>
        <w:spacing w:after="0" w:before="0"/>
      </w:pPr>
      <w:r>
        <w:rPr/>
        <w:t xml:space="preserve">Partie des « Migrations » reste à développer. </w:t>
      </w:r>
    </w:p>
    <w:p>
      <w:pPr>
        <w:pStyle w:val="style0"/>
        <w:jc w:val="both"/>
        <w:spacing w:after="0" w:before="0"/>
      </w:pPr>
      <w:r>
        <w:rPr/>
        <w:t xml:space="preserve">Partie « Voyages » axée sur le tourisme : le voyage d’agrément, économie du tourisme, impact sur l’environnement (à mettre en rapport avec d’autres pôles) sur le voyage d’apprentissage : grand tour compagnons, découverte par le déplacement. Cet axe est privilégié car il permet d’aborder une vue d’ensemble du pôle. </w:t>
      </w:r>
    </w:p>
    <w:p>
      <w:pPr>
        <w:pStyle w:val="style0"/>
        <w:jc w:val="both"/>
        <w:spacing w:after="0" w:before="0"/>
      </w:pPr>
      <w:r>
        <w:rPr/>
        <w:t>Rencontre avec Catherine Jauffred qui prépare une exposition Fluviale (Canal du Midi) à intégrer ou pas dans le pôle ?</w:t>
      </w:r>
    </w:p>
    <w:p>
      <w:pPr>
        <w:pStyle w:val="style0"/>
        <w:jc w:val="both"/>
        <w:spacing w:after="0" w:before="0"/>
      </w:pPr>
      <w:r>
        <w:rPr/>
        <w:t xml:space="preserve"> </w:t>
      </w:r>
      <w:r>
        <w:rPr/>
        <w:t>Les axes restent à développer/choisir selon les collections présentes.</w:t>
      </w:r>
    </w:p>
    <w:p>
      <w:pPr>
        <w:pStyle w:val="style0"/>
        <w:jc w:val="both"/>
        <w:spacing w:after="0" w:before="0"/>
      </w:pPr>
      <w:r>
        <w:rPr>
          <w:b/>
        </w:rPr>
      </w:r>
    </w:p>
    <w:p>
      <w:pPr>
        <w:pStyle w:val="style0"/>
        <w:jc w:val="both"/>
        <w:spacing w:after="0" w:before="0"/>
      </w:pPr>
      <w:r>
        <w:rPr>
          <w:b/>
        </w:rPr>
        <w:t>Zeev Gourarier</w:t>
      </w:r>
      <w:r>
        <w:rPr/>
        <w:t> propose d’élaborer un tableau de parcours avec les collections existantes et avec des correspondances aux thèmes de recherches.</w:t>
      </w:r>
    </w:p>
    <w:p>
      <w:pPr>
        <w:pStyle w:val="style0"/>
        <w:jc w:val="both"/>
        <w:spacing w:after="0" w:before="0"/>
      </w:pPr>
      <w:r>
        <w:rPr>
          <w:b/>
        </w:rPr>
      </w:r>
    </w:p>
    <w:p>
      <w:pPr>
        <w:pStyle w:val="style0"/>
        <w:jc w:val="both"/>
        <w:spacing w:after="0" w:before="0"/>
      </w:pPr>
      <w:r>
        <w:rPr>
          <w:b/>
        </w:rPr>
        <w:t>Denis Chevallier</w:t>
      </w:r>
      <w:r>
        <w:rPr/>
        <w:t>  se réfère, concernant les migrations, au réseau CNHI qui mène des actions de collectages de témoignages de migrants. Exposition thème des frontières sur la comparaison des différents musées et de leurs expositions déjà faites sur ce thème.</w:t>
      </w:r>
    </w:p>
    <w:p>
      <w:pPr>
        <w:pStyle w:val="style0"/>
        <w:jc w:val="both"/>
        <w:spacing w:after="0" w:before="0"/>
      </w:pPr>
      <w:r>
        <w:rPr>
          <w:b/>
        </w:rPr>
      </w:r>
    </w:p>
    <w:p>
      <w:pPr>
        <w:pStyle w:val="style0"/>
        <w:jc w:val="both"/>
        <w:spacing w:after="0" w:before="0"/>
      </w:pPr>
      <w:r>
        <w:rPr>
          <w:b/>
        </w:rPr>
        <w:t>Jean-Roch Bouiller</w:t>
      </w:r>
      <w:r>
        <w:rPr/>
        <w:t xml:space="preserve"> ajoute qu’il est important de ne pas oublier de regarder ce qui se passe dans nos propres programmations : GHR.</w:t>
      </w:r>
    </w:p>
    <w:p>
      <w:pPr>
        <w:pStyle w:val="style0"/>
        <w:jc w:val="both"/>
        <w:spacing w:after="0" w:before="0"/>
      </w:pPr>
      <w:r>
        <w:rPr/>
      </w:r>
    </w:p>
    <w:p>
      <w:pPr>
        <w:pStyle w:val="style0"/>
        <w:jc w:val="both"/>
        <w:spacing w:after="0" w:before="0"/>
      </w:pPr>
      <w:r>
        <w:rPr>
          <w:b/>
        </w:rPr>
        <w:t>Zeev Gourarier</w:t>
      </w:r>
      <w:r>
        <w:rPr/>
        <w:t xml:space="preserve"> demande aux responsables de pôle de réaliser, d’ici fin 2013, un document de 5 à 10 pages: schéma des champs abordés par pôles pour se faire une idée générale des pôles. Cela demande une analyse des collections existantes et une réflexion sur des projets d’expositions et d’acquisitions.</w:t>
      </w:r>
    </w:p>
    <w:p>
      <w:pPr>
        <w:pStyle w:val="style0"/>
        <w:jc w:val="both"/>
        <w:spacing w:after="0" w:before="0"/>
      </w:pPr>
      <w:r>
        <w:rPr/>
        <w:t>Réflexion pôle par pôle qui va donner l’identité finale du musée.</w:t>
      </w:r>
    </w:p>
    <w:p>
      <w:pPr>
        <w:pStyle w:val="style0"/>
        <w:jc w:val="both"/>
        <w:spacing w:after="0" w:before="0"/>
      </w:pPr>
      <w:r>
        <w:rPr/>
      </w:r>
    </w:p>
    <w:p>
      <w:pPr>
        <w:pStyle w:val="style23"/>
        <w:numPr>
          <w:ilvl w:val="0"/>
          <w:numId w:val="1"/>
        </w:numPr>
        <w:jc w:val="both"/>
        <w:spacing w:after="0" w:before="0"/>
      </w:pPr>
      <w:r>
        <w:rPr>
          <w:u w:val="single"/>
          <w:b/>
        </w:rPr>
        <w:t>Pôles de Frédéric Mougenot : vie domestique</w:t>
      </w:r>
    </w:p>
    <w:p>
      <w:pPr>
        <w:pStyle w:val="style0"/>
        <w:jc w:val="both"/>
        <w:spacing w:after="0" w:before="0"/>
      </w:pPr>
      <w:r>
        <w:rPr/>
        <w:t xml:space="preserve">Pas de connaissance des collections pour l’instant. Mais des centaines de milliers d’items sont disponibles. Problèmes de définition du pôle par rapport aux collections, chevauchement avec d’autres pôles. </w:t>
      </w:r>
    </w:p>
    <w:p>
      <w:pPr>
        <w:pStyle w:val="style0"/>
        <w:jc w:val="both"/>
        <w:spacing w:after="0" w:before="0"/>
      </w:pPr>
      <w:r>
        <w:rPr/>
        <w:t>Les frontières du pôle sont à définir en relation avec les autres pôles au fur et à mesure de la découverte des collections.</w:t>
      </w:r>
    </w:p>
    <w:p>
      <w:pPr>
        <w:pStyle w:val="style0"/>
        <w:jc w:val="both"/>
        <w:spacing w:after="0" w:before="0"/>
      </w:pPr>
      <w:r>
        <w:rPr/>
      </w:r>
    </w:p>
    <w:p>
      <w:pPr>
        <w:pStyle w:val="style0"/>
        <w:jc w:val="both"/>
        <w:spacing w:after="0" w:before="0"/>
      </w:pPr>
      <w:r>
        <w:rPr>
          <w:b/>
        </w:rPr>
        <w:t>Jean-Roch</w:t>
      </w:r>
      <w:r>
        <w:rPr/>
        <w:t> </w:t>
      </w:r>
      <w:r>
        <w:rPr>
          <w:b/>
        </w:rPr>
        <w:t>Bouiller</w:t>
      </w:r>
      <w:r>
        <w:rPr/>
        <w:t xml:space="preserve"> lui demande  quels sont les enjeux de ces séparations.</w:t>
      </w:r>
    </w:p>
    <w:p>
      <w:pPr>
        <w:pStyle w:val="style0"/>
        <w:jc w:val="both"/>
        <w:spacing w:after="0" w:before="0"/>
      </w:pPr>
      <w:r>
        <w:rPr/>
      </w:r>
    </w:p>
    <w:p>
      <w:pPr>
        <w:pStyle w:val="style0"/>
        <w:jc w:val="both"/>
        <w:spacing w:after="0" w:before="0"/>
      </w:pPr>
      <w:r>
        <w:rPr>
          <w:b/>
        </w:rPr>
        <w:t xml:space="preserve">Frédéric Mougenot </w:t>
      </w:r>
      <w:r>
        <w:rPr/>
        <w:t>répond qu’il y a des enjeux pour les récolements des collections.</w:t>
      </w:r>
    </w:p>
    <w:p>
      <w:pPr>
        <w:pStyle w:val="style0"/>
        <w:jc w:val="both"/>
        <w:spacing w:after="0" w:before="0"/>
      </w:pPr>
      <w:r>
        <w:rPr/>
      </w:r>
    </w:p>
    <w:p>
      <w:pPr>
        <w:pStyle w:val="style0"/>
        <w:jc w:val="both"/>
        <w:spacing w:after="0" w:before="0"/>
      </w:pPr>
      <w:r>
        <w:rPr>
          <w:b/>
        </w:rPr>
        <w:t>Zeev  Gourarier</w:t>
      </w:r>
      <w:r>
        <w:rPr/>
        <w:t xml:space="preserve"> revient sur problème de définition « qu’est ce que la vie domestique ? »</w:t>
      </w:r>
    </w:p>
    <w:p>
      <w:pPr>
        <w:pStyle w:val="style0"/>
        <w:jc w:val="both"/>
        <w:spacing w:after="0" w:before="0"/>
      </w:pPr>
      <w:r>
        <w:rPr/>
        <w:t>Certains pôles sont une continuité (réflexions déjà menées à exploiter) : artisanat, agriculture, art du spectacle, croyance.</w:t>
      </w:r>
    </w:p>
    <w:p>
      <w:pPr>
        <w:pStyle w:val="style0"/>
        <w:jc w:val="both"/>
        <w:spacing w:after="0" w:before="0"/>
      </w:pPr>
      <w:r>
        <w:rPr/>
      </w:r>
    </w:p>
    <w:p>
      <w:pPr>
        <w:pStyle w:val="style0"/>
        <w:jc w:val="both"/>
        <w:spacing w:after="0" w:before="0"/>
      </w:pPr>
      <w:r>
        <w:rPr>
          <w:b/>
        </w:rPr>
        <w:t>Denis chevallier</w:t>
      </w:r>
      <w:r>
        <w:rPr/>
        <w:t> fait référence au colloque/conférence inaugurale « qu’est ce qu’être contemporain ? » et « industrie domestique »</w:t>
      </w:r>
    </w:p>
    <w:p>
      <w:pPr>
        <w:pStyle w:val="style0"/>
        <w:jc w:val="both"/>
        <w:spacing w:after="0" w:before="0"/>
      </w:pPr>
      <w:r>
        <w:rPr/>
        <w:t>Il suggère une piste vers une exposition, article sur « qu’est ce que le domestique ? » question théorique, rapport dedans/dehors, symbolique.</w:t>
      </w:r>
    </w:p>
    <w:p>
      <w:pPr>
        <w:pStyle w:val="style0"/>
        <w:jc w:val="both"/>
        <w:spacing w:after="0" w:before="0"/>
      </w:pPr>
      <w:r>
        <w:rPr/>
        <w:t>Il faut prendre partir pour fixer des limites à la réflexion.</w:t>
      </w:r>
    </w:p>
    <w:p>
      <w:pPr>
        <w:pStyle w:val="style0"/>
        <w:jc w:val="both"/>
        <w:spacing w:after="0" w:before="0"/>
      </w:pPr>
      <w:r>
        <w:rPr/>
      </w:r>
    </w:p>
    <w:p>
      <w:pPr>
        <w:pStyle w:val="style0"/>
        <w:jc w:val="both"/>
        <w:spacing w:after="0" w:before="0"/>
      </w:pPr>
      <w:r>
        <w:rPr>
          <w:b/>
        </w:rPr>
        <w:t>Marie Charlotte Calafat</w:t>
      </w:r>
      <w:r>
        <w:rPr/>
        <w:t xml:space="preserve"> : les collections sont à repartir selon leurs origines.</w:t>
      </w:r>
    </w:p>
    <w:p>
      <w:pPr>
        <w:pStyle w:val="style0"/>
        <w:jc w:val="both"/>
        <w:spacing w:after="0" w:before="0"/>
      </w:pPr>
      <w:r>
        <w:rPr/>
      </w:r>
    </w:p>
    <w:p>
      <w:pPr>
        <w:pStyle w:val="style0"/>
        <w:jc w:val="both"/>
        <w:spacing w:after="0" w:before="0"/>
      </w:pPr>
      <w:r>
        <w:rPr>
          <w:b/>
        </w:rPr>
        <w:t>Zeev Gourarier</w:t>
      </w:r>
      <w:r>
        <w:rPr/>
        <w:t>: il vaut mieux cibler des problématiques avant de se référer à l’histoire.</w:t>
      </w:r>
    </w:p>
    <w:p>
      <w:pPr>
        <w:pStyle w:val="style0"/>
        <w:jc w:val="both"/>
        <w:spacing w:after="0" w:before="0"/>
      </w:pPr>
      <w:r>
        <w:rPr/>
      </w:r>
    </w:p>
    <w:p>
      <w:pPr>
        <w:pStyle w:val="style0"/>
        <w:jc w:val="both"/>
        <w:spacing w:after="0" w:before="0"/>
      </w:pPr>
      <w:r>
        <w:rPr>
          <w:b/>
        </w:rPr>
        <w:t>Frédéric Mougenot</w:t>
      </w:r>
      <w:r>
        <w:rPr/>
        <w:t xml:space="preserve"> souhaite compléter les fonds historiques avec jeux, jouets, mobiliers…</w:t>
      </w:r>
    </w:p>
    <w:p>
      <w:pPr>
        <w:pStyle w:val="style0"/>
        <w:jc w:val="both"/>
        <w:spacing w:after="0" w:before="0"/>
      </w:pPr>
      <w:r>
        <w:rPr/>
        <w:t>Piste de recherche sur la question des animaux dans la maison (animaux de compagnies, les nuisibles…)</w:t>
      </w:r>
    </w:p>
    <w:p>
      <w:pPr>
        <w:pStyle w:val="style0"/>
        <w:jc w:val="both"/>
        <w:spacing w:after="0" w:before="0"/>
      </w:pPr>
      <w:r>
        <w:rPr/>
      </w:r>
    </w:p>
    <w:p>
      <w:pPr>
        <w:pStyle w:val="style0"/>
        <w:jc w:val="both"/>
        <w:spacing w:after="0" w:before="0"/>
      </w:pPr>
      <w:r>
        <w:rPr>
          <w:b/>
        </w:rPr>
        <w:t>Jean Roch Bouiller</w:t>
      </w:r>
      <w:r>
        <w:rPr/>
        <w:t> ajoute qu’il faut élargir la piste sur la place de la nature dans la vie domestique.</w:t>
      </w:r>
    </w:p>
    <w:p>
      <w:pPr>
        <w:pStyle w:val="style0"/>
        <w:jc w:val="both"/>
        <w:spacing w:after="0" w:before="0"/>
      </w:pPr>
      <w:r>
        <w:rPr/>
      </w:r>
    </w:p>
    <w:p>
      <w:pPr>
        <w:pStyle w:val="style0"/>
        <w:jc w:val="both"/>
        <w:spacing w:after="0" w:before="0"/>
      </w:pPr>
      <w:r>
        <w:rPr>
          <w:b/>
        </w:rPr>
      </w:r>
    </w:p>
    <w:p>
      <w:pPr>
        <w:pStyle w:val="style0"/>
        <w:jc w:val="both"/>
        <w:spacing w:after="0" w:before="0"/>
      </w:pPr>
      <w:r>
        <w:rPr>
          <w:b/>
        </w:rPr>
        <w:t>Frédéric Mougenot</w:t>
      </w:r>
      <w:r>
        <w:rPr/>
        <w:t xml:space="preserve"> pense à un rapport environnement/homme. Funérailles pour animaux.</w:t>
      </w:r>
    </w:p>
    <w:p>
      <w:pPr>
        <w:pStyle w:val="style0"/>
        <w:jc w:val="both"/>
        <w:spacing w:after="0" w:before="0"/>
      </w:pPr>
      <w:r>
        <w:rPr/>
        <w:t>Ce thème touche toute la méditerranée sur le plan géographique et temporaire.</w:t>
      </w:r>
    </w:p>
    <w:p>
      <w:pPr>
        <w:pStyle w:val="style0"/>
        <w:jc w:val="both"/>
        <w:spacing w:after="0" w:before="0"/>
      </w:pPr>
      <w:r>
        <w:rPr/>
        <w:t>Réflexion sur les charmeurs de serpent.</w:t>
      </w:r>
    </w:p>
    <w:p>
      <w:pPr>
        <w:pStyle w:val="style0"/>
        <w:jc w:val="both"/>
        <w:spacing w:after="0" w:before="0"/>
      </w:pPr>
      <w:r>
        <w:rPr/>
      </w:r>
    </w:p>
    <w:p>
      <w:pPr>
        <w:pStyle w:val="style0"/>
        <w:jc w:val="both"/>
        <w:spacing w:after="0" w:before="0"/>
      </w:pPr>
      <w:r>
        <w:rPr>
          <w:b/>
        </w:rPr>
        <w:t>Sophie Feret</w:t>
      </w:r>
      <w:r>
        <w:rPr/>
        <w:t xml:space="preserve"> relance le débat sur la politique des collections. </w:t>
      </w:r>
    </w:p>
    <w:p>
      <w:pPr>
        <w:pStyle w:val="style0"/>
        <w:jc w:val="both"/>
        <w:spacing w:after="0" w:before="0"/>
      </w:pPr>
      <w:r>
        <w:rPr/>
        <w:t xml:space="preserve">Fait-on des acquisitions archéologiques illustratrices ou un travail de fond/recherche ? </w:t>
      </w:r>
    </w:p>
    <w:p>
      <w:pPr>
        <w:pStyle w:val="style0"/>
        <w:jc w:val="both"/>
        <w:spacing w:after="0" w:before="0"/>
      </w:pPr>
      <w:r>
        <w:rPr/>
      </w:r>
    </w:p>
    <w:p>
      <w:pPr>
        <w:pStyle w:val="style0"/>
        <w:jc w:val="both"/>
        <w:spacing w:after="0" w:before="0"/>
      </w:pPr>
      <w:r>
        <w:rPr>
          <w:b/>
        </w:rPr>
        <w:t>Mireille Jacotin</w:t>
      </w:r>
      <w:r>
        <w:rPr/>
        <w:t> pense qu’il faut une redéfinition des collections pour avancer. Travailler sur l’aspect contemporain, vivant des objets. Musée d’histoire des techniques et de la façon dont elles perdurent.</w:t>
      </w:r>
    </w:p>
    <w:p>
      <w:pPr>
        <w:pStyle w:val="style0"/>
        <w:jc w:val="both"/>
        <w:spacing w:after="0" w:before="0"/>
      </w:pPr>
      <w:r>
        <w:rPr/>
      </w:r>
    </w:p>
    <w:p>
      <w:pPr>
        <w:pStyle w:val="style0"/>
        <w:jc w:val="both"/>
        <w:spacing w:after="0" w:before="0"/>
      </w:pPr>
      <w:r>
        <w:rPr>
          <w:b/>
        </w:rPr>
        <w:t>Jean Roch Bouiller</w:t>
      </w:r>
      <w:r>
        <w:rPr/>
        <w:t> rappelle qu’on donne aux collections le sens que l’on veut leur donner.</w:t>
      </w:r>
    </w:p>
    <w:p>
      <w:pPr>
        <w:pStyle w:val="style0"/>
        <w:jc w:val="both"/>
        <w:spacing w:after="0" w:before="0"/>
      </w:pPr>
      <w:r>
        <w:rPr/>
      </w:r>
    </w:p>
    <w:p>
      <w:pPr>
        <w:pStyle w:val="style23"/>
        <w:numPr>
          <w:ilvl w:val="0"/>
          <w:numId w:val="1"/>
        </w:numPr>
        <w:jc w:val="both"/>
        <w:spacing w:after="0" w:before="0"/>
      </w:pPr>
      <w:r>
        <w:rPr>
          <w:u w:val="single"/>
          <w:b/>
        </w:rPr>
        <w:t>Avancement du chantier :</w:t>
      </w:r>
    </w:p>
    <w:p>
      <w:pPr>
        <w:pStyle w:val="style0"/>
        <w:jc w:val="both"/>
        <w:spacing w:after="0" w:before="0"/>
      </w:pPr>
      <w:r>
        <w:rPr>
          <w:b/>
        </w:rPr>
        <w:t>Zeev  Gourarier</w:t>
      </w:r>
      <w:r>
        <w:rPr/>
        <w:t xml:space="preserve"> fait le point sur les problèmes de fuite et infiltration et propose de diffuser un mail d’information sur l’avancement du chantier.</w:t>
      </w:r>
    </w:p>
    <w:p>
      <w:pPr>
        <w:pStyle w:val="style0"/>
        <w:jc w:val="both"/>
        <w:spacing w:after="0" w:before="0"/>
      </w:pPr>
      <w:r>
        <w:rPr/>
        <w:t>Il revient sur le retard des vitrines de la Galerie de la Méditerranée et sur le Mur de Berlin.</w:t>
      </w:r>
    </w:p>
    <w:p>
      <w:pPr>
        <w:pStyle w:val="style0"/>
        <w:jc w:val="both"/>
        <w:spacing w:after="0" w:before="0"/>
      </w:pPr>
      <w:r>
        <w:rPr/>
        <w:t>Possibilité d’un moi de mai non stop (fériés en récupération) pour avancer un maximum les installations des collections.</w:t>
      </w:r>
    </w:p>
    <w:p>
      <w:pPr>
        <w:pStyle w:val="style0"/>
        <w:jc w:val="both"/>
        <w:spacing w:after="0" w:before="0"/>
      </w:pPr>
      <w:r>
        <w:rPr/>
      </w:r>
    </w:p>
    <w:sectPr>
      <w:formProt w:val="off"/>
      <w:pgSz w:h="16838" w:w="11906"/>
      <w:docGrid w:charSpace="0" w:linePitch="360" w:type="default"/>
      <w:textDirection w:val="lrTb"/>
      <w:pgNumType w:fmt="decimal"/>
      <w:type w:val="nextPage"/>
      <w:footerReference r:id="rId2"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ans">
    <w:altName w:val="Arial"/>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pPr>
    <w:r>
      <w:rPr/>
    </w:r>
  </w:p>
</w:ftr>
</file>

<file path=word/numbering.xml><?xml version="1.0" encoding="utf-8"?>
<w:numbering xmlns:w="http://schemas.openxmlformats.org/wordprocessingml/2006/main">
  <w:abstractNum w:abstractNumId="1">
    <w:lvl w:ilvl="0">
      <w:start w:val="1"/>
      <w:numFmt w:val="decimal"/>
      <w:lvlJc w:val="left"/>
      <w:lvlText w:val="%1."/>
      <w:pPr>
        <w:ind w:hanging="360" w:left="720"/>
      </w:pPr>
    </w:lvl>
    <w:lvl w:ilvl="1">
      <w:start w:val="1"/>
      <w:numFmt w:val="lowerLetter"/>
      <w:lvlJc w:val="left"/>
      <w:lvlText w:val="%2."/>
      <w:pPr>
        <w:ind w:hanging="360" w:left="1440"/>
      </w:pPr>
    </w:lvl>
    <w:lvl w:ilvl="2">
      <w:start w:val="1"/>
      <w:numFmt w:val="lowerRoman"/>
      <w:lvlJc w:val="right"/>
      <w:lvlText w:val="%2.%3."/>
      <w:pPr>
        <w:ind w:hanging="180" w:left="2160"/>
      </w:p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Standard"/>
    <w:next w:val="style0"/>
    <w:pPr>
      <w:widowControl/>
      <w:tabs>
        <w:tab w:leader="none" w:pos="708" w:val="left"/>
      </w:tabs>
      <w:suppressAutoHyphens w:val="true"/>
    </w:pPr>
    <w:rPr>
      <w:color w:val="auto"/>
      <w:sz w:val="24"/>
      <w:szCs w:val="24"/>
      <w:rFonts w:ascii="Liberation Sans" w:cs="Mangal" w:eastAsia="Lucida Sans Unicode" w:hAnsi="Liberation Sans"/>
      <w:lang w:bidi="hi-IN" w:eastAsia="zh-CN" w:val="fr-FR"/>
    </w:rPr>
  </w:style>
  <w:style w:styleId="style15" w:type="character">
    <w:name w:val="Default Paragraph Font"/>
    <w:next w:val="style15"/>
    <w:rPr/>
  </w:style>
  <w:style w:styleId="style16" w:type="character">
    <w:name w:val="En-tête Car"/>
    <w:basedOn w:val="style15"/>
    <w:next w:val="style16"/>
    <w:rPr/>
  </w:style>
  <w:style w:styleId="style17" w:type="character">
    <w:name w:val="Pied de page Car"/>
    <w:basedOn w:val="style15"/>
    <w:next w:val="style17"/>
    <w:rPr/>
  </w:style>
  <w:style w:styleId="style18" w:type="paragraph">
    <w:name w:val="Titre"/>
    <w:basedOn w:val="style0"/>
    <w:next w:val="style19"/>
    <w:pPr>
      <w:keepNext/>
      <w:spacing w:after="120" w:before="240"/>
    </w:pPr>
    <w:rPr>
      <w:sz w:val="28"/>
      <w:szCs w:val="28"/>
      <w:rFonts w:ascii="Liberation Sans" w:cs="Mangal" w:eastAsia="Lucida Sans Unicode" w:hAnsi="Liberation Sans"/>
    </w:rPr>
  </w:style>
  <w:style w:styleId="style19" w:type="paragraph">
    <w:name w:val="Corps de texte"/>
    <w:basedOn w:val="style0"/>
    <w:next w:val="style19"/>
    <w:pPr>
      <w:spacing w:after="120" w:before="0"/>
    </w:pPr>
    <w:rPr/>
  </w:style>
  <w:style w:styleId="style20" w:type="paragraph">
    <w:name w:val="Liste"/>
    <w:basedOn w:val="style19"/>
    <w:next w:val="style20"/>
    <w:pPr/>
    <w:rPr>
      <w:rFonts w:ascii="Liberation Sans" w:cs="Mangal" w:hAnsi="Liberation Sans"/>
    </w:rPr>
  </w:style>
  <w:style w:styleId="style21" w:type="paragraph">
    <w:name w:val="Légende"/>
    <w:basedOn w:val="style0"/>
    <w:next w:val="style21"/>
    <w:pPr>
      <w:suppressLineNumbers/>
      <w:spacing w:after="120" w:before="120"/>
    </w:pPr>
    <w:rPr>
      <w:sz w:val="24"/>
      <w:i/>
      <w:szCs w:val="24"/>
      <w:iCs/>
      <w:rFonts w:ascii="Liberation Sans" w:cs="Mangal" w:hAnsi="Liberation Sans"/>
    </w:rPr>
  </w:style>
  <w:style w:styleId="style22" w:type="paragraph">
    <w:name w:val="Index"/>
    <w:basedOn w:val="style0"/>
    <w:next w:val="style22"/>
    <w:pPr>
      <w:suppressLineNumbers/>
    </w:pPr>
    <w:rPr>
      <w:rFonts w:ascii="Liberation Sans" w:cs="Mangal" w:hAnsi="Liberation Sans"/>
    </w:rPr>
  </w:style>
  <w:style w:styleId="style23" w:type="paragraph">
    <w:name w:val="List Paragraph"/>
    <w:basedOn w:val="style0"/>
    <w:next w:val="style23"/>
    <w:pPr>
      <w:ind w:hanging="0" w:left="720" w:right="0"/>
    </w:pPr>
    <w:rPr/>
  </w:style>
  <w:style w:styleId="style24" w:type="paragraph">
    <w:name w:val="En-tête"/>
    <w:basedOn w:val="style0"/>
    <w:next w:val="style24"/>
    <w:pPr>
      <w:tabs>
        <w:tab w:leader="none" w:pos="4536" w:val="center"/>
        <w:tab w:leader="none" w:pos="9072" w:val="right"/>
      </w:tabs>
      <w:suppressLineNumbers/>
      <w:spacing w:after="0" w:before="0" w:line="100" w:lineRule="atLeast"/>
    </w:pPr>
    <w:rPr/>
  </w:style>
  <w:style w:styleId="style25" w:type="paragraph">
    <w:name w:val="Pied de page"/>
    <w:basedOn w:val="style0"/>
    <w:next w:val="style25"/>
    <w:pPr>
      <w:tabs>
        <w:tab w:leader="none" w:pos="4536" w:val="center"/>
        <w:tab w:leader="none" w:pos="9072" w:val="right"/>
      </w:tabs>
      <w:suppressLineNumber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214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2013-04-16T13:08:00.00Z</dcterms:created>
  <dc:creator>vbecker</dc:creator>
  <cp:lastModifiedBy>vbecker</cp:lastModifiedBy>
  <cp:lastPrinted>2013-04-25T09:50:00.00Z</cp:lastPrinted>
  <dcterms:modified xsi:type="dcterms:W3CDTF">2013-04-25T13:39:00.00Z</dcterms:modified>
  <cp:revision>8</cp:revision>
</cp:coreProperties>
</file>